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804" w:rsidRDefault="00E02804" w:rsidP="00E02804">
      <w:pPr>
        <w:spacing w:after="0"/>
        <w:jc w:val="center"/>
        <w:rPr>
          <w:b/>
        </w:rPr>
      </w:pPr>
      <w:bookmarkStart w:id="0" w:name="_GoBack"/>
      <w:bookmarkEnd w:id="0"/>
      <w:r w:rsidRPr="000B0CAC">
        <w:rPr>
          <w:b/>
        </w:rPr>
        <w:t xml:space="preserve">Banque mondiale </w:t>
      </w:r>
    </w:p>
    <w:p w:rsidR="00E76BD8" w:rsidRPr="000B0CAC" w:rsidRDefault="00E76BD8" w:rsidP="00E02804">
      <w:pPr>
        <w:spacing w:after="0"/>
        <w:jc w:val="center"/>
        <w:rPr>
          <w:b/>
        </w:rPr>
      </w:pPr>
      <w:r w:rsidRPr="000B0CAC">
        <w:rPr>
          <w:b/>
        </w:rPr>
        <w:t>Rapport 2015 sur le développement dans le monde</w:t>
      </w:r>
    </w:p>
    <w:p w:rsidR="00E76BD8" w:rsidRPr="000B0CAC" w:rsidRDefault="00E76BD8" w:rsidP="000B0CAC">
      <w:pPr>
        <w:jc w:val="center"/>
        <w:rPr>
          <w:b/>
        </w:rPr>
      </w:pPr>
      <w:r w:rsidRPr="000B0CAC">
        <w:rPr>
          <w:b/>
        </w:rPr>
        <w:t>« Pensée, société et comportement »</w:t>
      </w:r>
    </w:p>
    <w:p w:rsidR="00C26A35" w:rsidRPr="000B0CAC" w:rsidRDefault="00E76BD8" w:rsidP="000B0CAC">
      <w:pPr>
        <w:jc w:val="center"/>
        <w:rPr>
          <w:b/>
          <w:i/>
          <w:sz w:val="24"/>
        </w:rPr>
      </w:pPr>
      <w:r w:rsidRPr="000B0CAC">
        <w:rPr>
          <w:b/>
        </w:rPr>
        <w:t>Résumé et commentaire</w:t>
      </w:r>
    </w:p>
    <w:p w:rsidR="00766BC7" w:rsidRPr="00766BC7" w:rsidRDefault="00766BC7" w:rsidP="00766BC7">
      <w:pPr>
        <w:suppressAutoHyphens/>
        <w:spacing w:after="120"/>
        <w:jc w:val="both"/>
        <w:rPr>
          <w:rFonts w:ascii="Calibri" w:eastAsia="DejaVu Sans" w:hAnsi="Calibri" w:cs="font290"/>
          <w:b/>
          <w:bCs/>
          <w:kern w:val="1"/>
        </w:rPr>
      </w:pPr>
      <w:r w:rsidRPr="00766BC7">
        <w:rPr>
          <w:rFonts w:ascii="Calibri" w:eastAsia="DejaVu Sans" w:hAnsi="Calibri" w:cs="font290"/>
          <w:kern w:val="1"/>
        </w:rPr>
        <w:t>Intitulé « Pensée, société et comportement », le Rapport 2015 sur le développement dans le monde (</w:t>
      </w:r>
      <w:r w:rsidRPr="00766BC7">
        <w:rPr>
          <w:rFonts w:ascii="Calibri" w:eastAsia="DejaVu Sans" w:hAnsi="Calibri" w:cs="font290"/>
          <w:i/>
          <w:kern w:val="1"/>
        </w:rPr>
        <w:t>World Development Report</w:t>
      </w:r>
      <w:r w:rsidRPr="00766BC7">
        <w:rPr>
          <w:rFonts w:ascii="Calibri" w:eastAsia="DejaVu Sans" w:hAnsi="Calibri" w:cs="font290"/>
          <w:kern w:val="1"/>
        </w:rPr>
        <w:t xml:space="preserve"> – WDR), production emblématique de la Banque mondiale à laquelle l’AFD a cette année contribué, plaide pour une meilleure prise en compte du comportement des populations concernées dans la conception et la mise en œuvre des politiques de développement. La présente note propose un résumé et un commentaire.</w:t>
      </w:r>
    </w:p>
    <w:p w:rsidR="00766BC7" w:rsidRPr="00766BC7" w:rsidRDefault="00766BC7" w:rsidP="00766BC7">
      <w:pPr>
        <w:suppressAutoHyphens/>
        <w:spacing w:after="120"/>
        <w:jc w:val="center"/>
        <w:rPr>
          <w:rFonts w:ascii="Calibri" w:eastAsia="DejaVu Sans" w:hAnsi="Calibri" w:cs="font290"/>
          <w:kern w:val="1"/>
          <w:sz w:val="24"/>
          <w:u w:val="single"/>
        </w:rPr>
      </w:pPr>
      <w:r w:rsidRPr="00766BC7">
        <w:rPr>
          <w:rFonts w:ascii="Calibri" w:eastAsia="DejaVu Sans" w:hAnsi="Calibri" w:cs="font290"/>
          <w:b/>
          <w:bCs/>
          <w:kern w:val="1"/>
          <w:sz w:val="24"/>
          <w:u w:val="single"/>
        </w:rPr>
        <w:t>Résumé</w:t>
      </w:r>
    </w:p>
    <w:p w:rsidR="00766BC7" w:rsidRPr="00766BC7" w:rsidRDefault="00766BC7" w:rsidP="00766BC7">
      <w:pPr>
        <w:suppressAutoHyphens/>
        <w:spacing w:after="120"/>
        <w:jc w:val="both"/>
        <w:rPr>
          <w:rFonts w:ascii="Calibri" w:eastAsia="DejaVu Sans" w:hAnsi="Calibri" w:cs="font290"/>
          <w:kern w:val="1"/>
        </w:rPr>
      </w:pPr>
      <w:r w:rsidRPr="00766BC7">
        <w:rPr>
          <w:rFonts w:ascii="Calibri" w:eastAsia="DejaVu Sans" w:hAnsi="Calibri" w:cs="font290"/>
          <w:kern w:val="1"/>
        </w:rPr>
        <w:t xml:space="preserve">Le rapport comporte trois parties. Dans la première sont analysés les « principes » qui éloignent le comportement humain d'une rationalité trop théorique. Trois modes de pensée sont distingués.  </w:t>
      </w:r>
    </w:p>
    <w:p w:rsidR="00766BC7" w:rsidRPr="00766BC7" w:rsidRDefault="00766BC7" w:rsidP="00766BC7">
      <w:pPr>
        <w:numPr>
          <w:ilvl w:val="0"/>
          <w:numId w:val="2"/>
        </w:numPr>
        <w:tabs>
          <w:tab w:val="clear" w:pos="0"/>
          <w:tab w:val="num" w:pos="720"/>
        </w:tabs>
        <w:suppressAutoHyphens/>
        <w:spacing w:after="120"/>
        <w:ind w:left="720"/>
        <w:jc w:val="both"/>
        <w:rPr>
          <w:rFonts w:ascii="Calibri" w:eastAsia="DejaVu Sans" w:hAnsi="Calibri" w:cs="font290"/>
          <w:kern w:val="1"/>
        </w:rPr>
      </w:pPr>
      <w:r w:rsidRPr="00766BC7">
        <w:rPr>
          <w:rFonts w:ascii="Calibri" w:eastAsia="DejaVu Sans" w:hAnsi="Calibri" w:cs="font290"/>
          <w:kern w:val="1"/>
        </w:rPr>
        <w:t xml:space="preserve">La « pensée automatique », qui opère des raccourcis cognitifs mais peut être influencée par les informations transmises. Par exemple, pour un emprunt, la manière dont le coût de l’emprunt est présenté peut décider l’individu à y souscrire ou non. </w:t>
      </w:r>
    </w:p>
    <w:p w:rsidR="00766BC7" w:rsidRPr="00766BC7" w:rsidRDefault="00766BC7" w:rsidP="00766BC7">
      <w:pPr>
        <w:numPr>
          <w:ilvl w:val="0"/>
          <w:numId w:val="2"/>
        </w:numPr>
        <w:tabs>
          <w:tab w:val="clear" w:pos="0"/>
          <w:tab w:val="num" w:pos="720"/>
        </w:tabs>
        <w:suppressAutoHyphens/>
        <w:spacing w:after="120"/>
        <w:ind w:left="720"/>
        <w:jc w:val="both"/>
        <w:rPr>
          <w:rFonts w:ascii="Calibri" w:eastAsia="DejaVu Sans" w:hAnsi="Calibri" w:cs="font290"/>
          <w:kern w:val="1"/>
        </w:rPr>
      </w:pPr>
      <w:r w:rsidRPr="00766BC7">
        <w:rPr>
          <w:rFonts w:ascii="Calibri" w:eastAsia="DejaVu Sans" w:hAnsi="Calibri" w:cs="font290"/>
          <w:kern w:val="1"/>
        </w:rPr>
        <w:t>La « pensée sociale », celle de l’animal social qu'est l'être humain et qui reflète l’influence du milieu social, des identités sociales, des réseaux sociaux, etc. On observe qu’en général les individus coopèrent plus volontiers lorsque leur entourage s’y met. Par exemple (</w:t>
      </w:r>
      <w:r w:rsidRPr="00766BC7">
        <w:rPr>
          <w:rFonts w:ascii="Calibri" w:eastAsia="DejaVu Sans" w:hAnsi="Calibri" w:cs="font290"/>
          <w:i/>
          <w:iCs/>
          <w:kern w:val="1"/>
        </w:rPr>
        <w:t>Spotlight</w:t>
      </w:r>
      <w:r w:rsidRPr="00766BC7">
        <w:rPr>
          <w:rFonts w:ascii="Calibri" w:eastAsia="DejaVu Sans" w:hAnsi="Calibri" w:cs="font290"/>
          <w:kern w:val="1"/>
        </w:rPr>
        <w:t xml:space="preserve"> 5, pp.176-178), en 1997 à Bogota, à la suite de l’effondrement d’un tunnel qui affecta l’approvisionnement en eau, les autorités réussirent à réduire la consommation d’eau en indiquant à la population les mesures les plus efficaces d’économie et en publiant le nom des personnes qui coopéraient. </w:t>
      </w:r>
    </w:p>
    <w:p w:rsidR="00766BC7" w:rsidRPr="00766BC7" w:rsidRDefault="00766BC7" w:rsidP="00766BC7">
      <w:pPr>
        <w:numPr>
          <w:ilvl w:val="0"/>
          <w:numId w:val="2"/>
        </w:numPr>
        <w:tabs>
          <w:tab w:val="clear" w:pos="0"/>
          <w:tab w:val="num" w:pos="720"/>
        </w:tabs>
        <w:suppressAutoHyphens/>
        <w:spacing w:after="120"/>
        <w:ind w:left="720"/>
        <w:jc w:val="both"/>
        <w:rPr>
          <w:rFonts w:ascii="Calibri" w:eastAsia="DejaVu Sans" w:hAnsi="Calibri" w:cs="font290"/>
          <w:kern w:val="1"/>
        </w:rPr>
      </w:pPr>
      <w:r w:rsidRPr="00766BC7">
        <w:rPr>
          <w:rFonts w:ascii="Calibri" w:eastAsia="DejaVu Sans" w:hAnsi="Calibri" w:cs="font290"/>
          <w:kern w:val="1"/>
        </w:rPr>
        <w:t>La « pensée par modèles mentaux », qui utilise les schémas historiques ou culturels et se reconnaît dans les stéréotypes et les préjugés, qui peuvent s’auto-réaliser. Le rapport évoque l’expérience consistant à demander à des garçons de castes inférieures en Inde à assembler un puzzle. Lorsque ces garçons sont tenus à l'écart de la caste supérieure, leurs résultats sont meilleurs. L’auto-réalisation du stéréotype de la caste inférieure se manifeste ainsi par la tendance des membres du groupe défavorisé à se sous-estimer et dès lors à obtenir de moins bons résultats que ceux dont ils sont capables dans l'absolu.</w:t>
      </w:r>
    </w:p>
    <w:p w:rsidR="00766BC7" w:rsidRPr="00766BC7" w:rsidRDefault="00766BC7" w:rsidP="00766BC7">
      <w:pPr>
        <w:suppressAutoHyphens/>
        <w:spacing w:after="120"/>
        <w:jc w:val="both"/>
        <w:rPr>
          <w:rFonts w:ascii="Calibri" w:eastAsia="DejaVu Sans" w:hAnsi="Calibri" w:cs="font290"/>
          <w:kern w:val="1"/>
        </w:rPr>
      </w:pPr>
      <w:r w:rsidRPr="00766BC7">
        <w:rPr>
          <w:rFonts w:ascii="Calibri" w:eastAsia="DejaVu Sans" w:hAnsi="Calibri" w:cs="font290"/>
          <w:kern w:val="1"/>
        </w:rPr>
        <w:t xml:space="preserve">Dans la deuxième partie, le rapport examine l'application de ces trois modes de pensée au métier du développement. Il passe en revue six domaines : lutte contre la pauvreté, développement de l’enfant, situation financière des ménages, amélioration de la productivité, santé et changement climatique. </w:t>
      </w:r>
    </w:p>
    <w:p w:rsidR="00766BC7" w:rsidRPr="00766BC7" w:rsidRDefault="00766BC7" w:rsidP="00766BC7">
      <w:pPr>
        <w:numPr>
          <w:ilvl w:val="0"/>
          <w:numId w:val="7"/>
        </w:numPr>
        <w:suppressAutoHyphens/>
        <w:spacing w:after="120"/>
        <w:jc w:val="both"/>
        <w:rPr>
          <w:rFonts w:ascii="Calibri" w:eastAsia="DejaVu Sans" w:hAnsi="Calibri" w:cs="font290"/>
          <w:kern w:val="1"/>
        </w:rPr>
      </w:pPr>
      <w:r w:rsidRPr="00766BC7">
        <w:rPr>
          <w:rFonts w:ascii="Calibri" w:eastAsia="DejaVu Sans" w:hAnsi="Calibri" w:cs="font290"/>
          <w:kern w:val="1"/>
        </w:rPr>
        <w:t xml:space="preserve">Pour n'évoquer ici que deux de ces domaines, le rapport trouve, s’agissant de la pauvreté, que celle-ci ne se limite pas à un manque de ressources matérielles dans la mesure où les difficultés et le stress réduisent les ressources cognitives. L’énergie dépensée pour les besoins élémentaires (accès à l’eau, nourriture…) peut réduire les ressources disponibles pour les décisions importantes, par exemple la scolarisation d'un enfant. Dès lors, il peut être indiqué de programmer les campagnes de scolarisation à l’époque où les revenus des ménages sont le plus élevés, typiquement après la récolte, en milieu rural.  </w:t>
      </w:r>
    </w:p>
    <w:p w:rsidR="00766BC7" w:rsidRPr="00766BC7" w:rsidRDefault="00766BC7" w:rsidP="00766BC7">
      <w:pPr>
        <w:numPr>
          <w:ilvl w:val="0"/>
          <w:numId w:val="7"/>
        </w:numPr>
        <w:suppressAutoHyphens/>
        <w:spacing w:after="120"/>
        <w:jc w:val="both"/>
        <w:rPr>
          <w:rFonts w:ascii="Calibri" w:eastAsia="DejaVu Sans" w:hAnsi="Calibri" w:cs="font290"/>
          <w:kern w:val="1"/>
        </w:rPr>
      </w:pPr>
      <w:r w:rsidRPr="00766BC7">
        <w:rPr>
          <w:rFonts w:ascii="Calibri" w:eastAsia="DejaVu Sans" w:hAnsi="Calibri" w:cs="font290"/>
          <w:kern w:val="1"/>
        </w:rPr>
        <w:lastRenderedPageBreak/>
        <w:t>Dans le domaine du changement climatique, le rapport observe la difficulté de convaincre l'opinion de la réalité du phénomène en cours malgré l'accumulation de faits de moins en moins contestables. Cette difficulté vient parfois, observe le rapport, de ce que les gens acceptent difficilement ce qui ne correspond pas à leur expérience vécue. De fait, on peut observer à l'inverse que l'acceptation du changement climatique augmente après une saison anormale, telle qu'une période prolongée de températures élevées. Les modes de pensée conduisent le rapport à souligner l'importance de la manière dont l'information est présentée. Le « </w:t>
      </w:r>
      <w:r w:rsidRPr="00766BC7">
        <w:rPr>
          <w:rFonts w:ascii="Calibri" w:eastAsia="DejaVu Sans" w:hAnsi="Calibri" w:cs="font290"/>
          <w:i/>
          <w:iCs/>
          <w:kern w:val="1"/>
        </w:rPr>
        <w:t>narrative </w:t>
      </w:r>
      <w:r w:rsidRPr="00766BC7">
        <w:rPr>
          <w:rFonts w:ascii="Calibri" w:eastAsia="DejaVu Sans" w:hAnsi="Calibri" w:cs="font290"/>
          <w:kern w:val="1"/>
        </w:rPr>
        <w:t>», la présentation du phénomène, sera d'autant plus efficace qu'elle fera percevoir, par association d'idée, par une parabole, une métaphore, etc., l'enjeu du fait invoqué et le lien de cause à effet.</w:t>
      </w:r>
    </w:p>
    <w:p w:rsidR="00766BC7" w:rsidRPr="00766BC7" w:rsidRDefault="00766BC7" w:rsidP="00766BC7">
      <w:pPr>
        <w:suppressAutoHyphens/>
        <w:spacing w:after="120"/>
        <w:jc w:val="both"/>
        <w:rPr>
          <w:rFonts w:ascii="Calibri" w:eastAsia="DejaVu Sans" w:hAnsi="Calibri" w:cs="font290"/>
          <w:b/>
          <w:bCs/>
          <w:kern w:val="1"/>
        </w:rPr>
      </w:pPr>
      <w:r w:rsidRPr="00766BC7">
        <w:rPr>
          <w:rFonts w:ascii="Calibri" w:eastAsia="DejaVu Sans" w:hAnsi="Calibri" w:cs="font290"/>
          <w:kern w:val="1"/>
        </w:rPr>
        <w:t>Dans la troisième partie, le rapport souligne que les professionnels du développement, ceux de la Banque mondiale en particulier, ne sont pas exempts de modes de pensée propres et de biais de perception. Les populations pauvres sont ainsi généralement perçues comme moins autonomes et moins responsables qu'elles ne le sont en réalité. Le défi est donc de corriger les perceptions des professionnels du développement, notamment en réformant le mode de fonctionnement des bailleurs.</w:t>
      </w:r>
    </w:p>
    <w:p w:rsidR="00766BC7" w:rsidRPr="00766BC7" w:rsidRDefault="00766BC7" w:rsidP="00766BC7">
      <w:pPr>
        <w:suppressAutoHyphens/>
        <w:spacing w:after="120"/>
        <w:jc w:val="center"/>
        <w:rPr>
          <w:rFonts w:ascii="Calibri" w:eastAsia="DejaVu Sans" w:hAnsi="Calibri" w:cs="font290"/>
          <w:b/>
          <w:kern w:val="1"/>
          <w:sz w:val="24"/>
          <w:u w:val="single"/>
        </w:rPr>
      </w:pPr>
      <w:r w:rsidRPr="00766BC7">
        <w:rPr>
          <w:rFonts w:ascii="Calibri" w:eastAsia="DejaVu Sans" w:hAnsi="Calibri" w:cs="font290"/>
          <w:b/>
          <w:kern w:val="1"/>
          <w:sz w:val="24"/>
          <w:u w:val="single"/>
        </w:rPr>
        <w:t>Commentaire</w:t>
      </w:r>
    </w:p>
    <w:p w:rsidR="00766BC7" w:rsidRPr="00766BC7" w:rsidRDefault="00766BC7" w:rsidP="00766BC7">
      <w:pPr>
        <w:suppressAutoHyphens/>
        <w:spacing w:after="120"/>
        <w:jc w:val="both"/>
        <w:rPr>
          <w:rFonts w:ascii="Calibri" w:eastAsia="DejaVu Sans" w:hAnsi="Calibri" w:cs="font290"/>
          <w:kern w:val="1"/>
        </w:rPr>
      </w:pPr>
      <w:r w:rsidRPr="00766BC7">
        <w:rPr>
          <w:rFonts w:ascii="Calibri" w:eastAsia="DejaVu Sans" w:hAnsi="Calibri" w:cs="font290"/>
          <w:kern w:val="1"/>
        </w:rPr>
        <w:t xml:space="preserve">Le WDR 2015 a créé des attentes, certains commentateurs n’hésitant pas même à évoquer son approche « révolutionnaire ». On évoquera ce qui a provoqué ces attentes avant d’examiner ce qui a pu ensuite les tempérer. </w:t>
      </w:r>
    </w:p>
    <w:p w:rsidR="00766BC7" w:rsidRPr="00766BC7" w:rsidRDefault="00766BC7" w:rsidP="00766BC7">
      <w:pPr>
        <w:suppressAutoHyphens/>
        <w:spacing w:after="120"/>
        <w:jc w:val="both"/>
        <w:rPr>
          <w:rFonts w:ascii="Calibri" w:eastAsia="DejaVu Sans" w:hAnsi="Calibri" w:cs="font290"/>
          <w:b/>
          <w:kern w:val="1"/>
        </w:rPr>
      </w:pPr>
      <w:r w:rsidRPr="00766BC7">
        <w:rPr>
          <w:rFonts w:ascii="Calibri" w:eastAsia="DejaVu Sans" w:hAnsi="Calibri" w:cs="font290"/>
          <w:b/>
          <w:kern w:val="1"/>
        </w:rPr>
        <w:t>Attentes créées</w:t>
      </w:r>
    </w:p>
    <w:p w:rsidR="00766BC7" w:rsidRPr="00766BC7" w:rsidRDefault="00766BC7" w:rsidP="00766BC7">
      <w:pPr>
        <w:suppressAutoHyphens/>
        <w:spacing w:after="120"/>
        <w:jc w:val="both"/>
        <w:rPr>
          <w:rFonts w:ascii="Calibri" w:eastAsia="DejaVu Sans" w:hAnsi="Calibri" w:cs="font290"/>
          <w:kern w:val="1"/>
        </w:rPr>
      </w:pPr>
      <w:r w:rsidRPr="00766BC7">
        <w:rPr>
          <w:rFonts w:ascii="Calibri" w:eastAsia="DejaVu Sans" w:hAnsi="Calibri" w:cs="font290"/>
          <w:kern w:val="1"/>
        </w:rPr>
        <w:t xml:space="preserve">Du point de vue de l’approche disciplinaire, le rapport entend s’appuyer sur les résultats de recherche issus des neurosciences, de la psychologie, de la sociologie, des sciences politiques et de l’anthropologie dans le but d’explorer, au-delà de la rationalité supposée des individus, la façon dont ces derniers font leurs choix. En fait, le rapport accorde une large place à l’économie comportementale qui constate, parfois sur des bases expérimentales (observant les réactions des individus dans différentes situations notamment en laboratoire), que les individus ne se comportent pas comme le suppose la théorie économique standard. Cette discipline cherche donc à mieux comprendre les comportements humains et le rôle des émotions et des interactions sociales. </w:t>
      </w:r>
    </w:p>
    <w:p w:rsidR="00766BC7" w:rsidRPr="00766BC7" w:rsidRDefault="00766BC7" w:rsidP="00766BC7">
      <w:pPr>
        <w:suppressAutoHyphens/>
        <w:spacing w:after="120"/>
        <w:jc w:val="both"/>
        <w:rPr>
          <w:rFonts w:ascii="Calibri" w:eastAsia="DejaVu Sans" w:hAnsi="Calibri" w:cs="font290"/>
          <w:kern w:val="1"/>
        </w:rPr>
      </w:pPr>
      <w:r w:rsidRPr="00766BC7">
        <w:rPr>
          <w:rFonts w:ascii="Calibri" w:eastAsia="DejaVu Sans" w:hAnsi="Calibri" w:cs="font290"/>
          <w:kern w:val="1"/>
        </w:rPr>
        <w:t>Avant les psychologues Amos Tversky et Daniel Kahneman (prix Nobel d’économie en 2002), pionniers de la version moderne de la discipline, et les auteurs Richard Thaler et Cass Sunstein</w:t>
      </w:r>
      <w:r w:rsidRPr="00766BC7">
        <w:rPr>
          <w:rFonts w:ascii="Calibri" w:eastAsia="DejaVu Sans" w:hAnsi="Calibri" w:cs="font290"/>
          <w:kern w:val="1"/>
          <w:vertAlign w:val="superscript"/>
        </w:rPr>
        <w:footnoteReference w:id="1"/>
      </w:r>
      <w:r w:rsidRPr="00766BC7">
        <w:rPr>
          <w:rFonts w:ascii="Calibri" w:eastAsia="DejaVu Sans" w:hAnsi="Calibri" w:cs="font290"/>
          <w:kern w:val="1"/>
        </w:rPr>
        <w:t>, dont l’ouvrage intitulé « Nudge » (2008) en assura la célébrité, de nombreuses autres voix d’économistes avaient déjà alerté l’opinion sur le caractère irréaliste des hypothèses de l’économie standard. J.M. Keynes  avait par exemple souligné l’illusion monétaire (tendance à considérer la valeur nominale de la monnaie au lieu de la valeur réelle) (cf. Box 0.1, page 5). Prix Nobel en 1978, Herbert Simon (1996 – 1991) réfuta à son tour l’hypothèse de la rationalité parfaite d’</w:t>
      </w:r>
      <w:r w:rsidRPr="00766BC7">
        <w:rPr>
          <w:rFonts w:ascii="Calibri" w:eastAsia="DejaVu Sans" w:hAnsi="Calibri" w:cs="font290"/>
          <w:i/>
          <w:kern w:val="1"/>
        </w:rPr>
        <w:t xml:space="preserve">homo œconomicus </w:t>
      </w:r>
      <w:r w:rsidRPr="00766BC7">
        <w:rPr>
          <w:rFonts w:ascii="Calibri" w:eastAsia="DejaVu Sans" w:hAnsi="Calibri" w:cs="font290"/>
          <w:kern w:val="1"/>
        </w:rPr>
        <w:t>en lui préférant le concept de rationalité limitée, les êtres humains, avec des capacités cognitives limitées, n’ayant pas un accès illimité à l’information et recherchant plutôt la satisfaction que l’optimisation, avec une vision floue de leurs préférences.</w:t>
      </w:r>
    </w:p>
    <w:p w:rsidR="00766BC7" w:rsidRPr="00766BC7" w:rsidRDefault="00766BC7" w:rsidP="00766BC7">
      <w:pPr>
        <w:suppressAutoHyphens/>
        <w:spacing w:after="120"/>
        <w:jc w:val="both"/>
        <w:rPr>
          <w:rFonts w:ascii="Calibri" w:eastAsia="DejaVu Sans" w:hAnsi="Calibri" w:cs="font290"/>
          <w:kern w:val="1"/>
        </w:rPr>
      </w:pPr>
      <w:r w:rsidRPr="00766BC7">
        <w:rPr>
          <w:rFonts w:ascii="Calibri" w:eastAsia="DejaVu Sans" w:hAnsi="Calibri" w:cs="font290"/>
          <w:kern w:val="1"/>
        </w:rPr>
        <w:lastRenderedPageBreak/>
        <w:t xml:space="preserve">S’il n’est donc pas original, même pour l’économie </w:t>
      </w:r>
      <w:r w:rsidRPr="00766BC7">
        <w:rPr>
          <w:rFonts w:ascii="Calibri" w:eastAsia="DejaVu Sans" w:hAnsi="Calibri" w:cs="font290"/>
          <w:i/>
          <w:kern w:val="1"/>
        </w:rPr>
        <w:t>mainstream</w:t>
      </w:r>
      <w:r w:rsidRPr="00766BC7">
        <w:rPr>
          <w:rFonts w:ascii="Calibri" w:eastAsia="DejaVu Sans" w:hAnsi="Calibri" w:cs="font290"/>
          <w:kern w:val="1"/>
        </w:rPr>
        <w:t xml:space="preserve"> actuelle, d’affirmer que « contrairement à un ordinateur, l’esprit humain n’est pas logique, mais psychologique » (p.5), il est en revanche assez audacieux de suggérer la fermeture d’une « parenthèse de 40 ans » (p.5) dans la mesure où les politiques économiques, notamment de développement, se sont inspirées d’un modèle erroné. Il fallait en outre une honnête et courageuse lucidité pour inciter les professionnels du développement (employés de la Banque mondiale en premier lieu) à s’interroger sur leurs propres biais cognitifs et erreurs d’appréciation. Si l’on ajoute l’importance accordée à la demande dans les politiques de développement, et l’observation qu’un projet peut paraître techniquement parfait, mais s’avérer inutile s’il ne répond pas à un véritable besoin, ou encore si sa mise en œuvre est défaillante par manque de connaissance du contexte et des populations,</w:t>
      </w:r>
      <w:r w:rsidRPr="00766BC7">
        <w:rPr>
          <w:rFonts w:ascii="Calibri" w:eastAsia="DejaVu Sans" w:hAnsi="Calibri" w:cs="font290"/>
          <w:kern w:val="1"/>
          <w:vertAlign w:val="superscript"/>
        </w:rPr>
        <w:footnoteReference w:id="2"/>
      </w:r>
      <w:r w:rsidRPr="00766BC7">
        <w:rPr>
          <w:rFonts w:ascii="Calibri" w:eastAsia="DejaVu Sans" w:hAnsi="Calibri" w:cs="font290"/>
          <w:kern w:val="1"/>
        </w:rPr>
        <w:t xml:space="preserve"> on comprend l’intérêt que le WDR a pu susciter. </w:t>
      </w:r>
    </w:p>
    <w:p w:rsidR="00766BC7" w:rsidRPr="00766BC7" w:rsidRDefault="00766BC7" w:rsidP="00766BC7">
      <w:pPr>
        <w:suppressAutoHyphens/>
        <w:spacing w:after="120"/>
        <w:jc w:val="both"/>
        <w:rPr>
          <w:rFonts w:ascii="Calibri" w:eastAsia="DejaVu Sans" w:hAnsi="Calibri" w:cs="font290"/>
          <w:b/>
          <w:kern w:val="1"/>
        </w:rPr>
      </w:pPr>
      <w:r w:rsidRPr="00766BC7">
        <w:rPr>
          <w:rFonts w:ascii="Calibri" w:eastAsia="DejaVu Sans" w:hAnsi="Calibri" w:cs="font290"/>
          <w:b/>
          <w:kern w:val="1"/>
        </w:rPr>
        <w:t>Attentes déçues</w:t>
      </w:r>
    </w:p>
    <w:p w:rsidR="00766BC7" w:rsidRPr="00766BC7" w:rsidRDefault="00766BC7" w:rsidP="00766BC7">
      <w:pPr>
        <w:suppressAutoHyphens/>
        <w:spacing w:after="120"/>
        <w:jc w:val="both"/>
        <w:rPr>
          <w:rFonts w:ascii="Calibri" w:eastAsia="DejaVu Sans" w:hAnsi="Calibri" w:cs="font290"/>
          <w:kern w:val="1"/>
        </w:rPr>
      </w:pPr>
      <w:r w:rsidRPr="00766BC7">
        <w:rPr>
          <w:rFonts w:ascii="Calibri" w:eastAsia="DejaVu Sans" w:hAnsi="Calibri" w:cs="font290"/>
          <w:kern w:val="1"/>
        </w:rPr>
        <w:t xml:space="preserve">Les mérites du rapport ne doivent cependant pas empêcher de relativiser d’autres aspects, particulièrement la large place accordée à l’économie comportementale. Finalement, par rapport à cette dernière, la place faite aux autres sciences sociales pour mieux comprendre les êtres humains s’accorde mal à l’appel à l’interdisciplinarité. En vérité, l’économie comportementale pratiquant volontiers l’expérimentation plutôt que l’observation, apparaît conforme à la vogue, que la Banque n’apparaît pas prête à renier, en faveur des approches « basées sur des preuves ». </w:t>
      </w:r>
    </w:p>
    <w:p w:rsidR="00766BC7" w:rsidRPr="00766BC7" w:rsidRDefault="00766BC7" w:rsidP="00766BC7">
      <w:pPr>
        <w:suppressAutoHyphens/>
        <w:spacing w:after="120"/>
        <w:jc w:val="both"/>
        <w:rPr>
          <w:rFonts w:ascii="Calibri" w:eastAsia="DejaVu Sans" w:hAnsi="Calibri" w:cs="font290"/>
          <w:kern w:val="1"/>
        </w:rPr>
      </w:pPr>
      <w:r w:rsidRPr="00766BC7">
        <w:rPr>
          <w:rFonts w:ascii="Calibri" w:eastAsia="DejaVu Sans" w:hAnsi="Calibri" w:cs="font290"/>
          <w:kern w:val="1"/>
        </w:rPr>
        <w:t xml:space="preserve">Par ailleurs, l’utilisation des </w:t>
      </w:r>
      <w:r w:rsidRPr="00766BC7">
        <w:rPr>
          <w:rFonts w:ascii="Calibri" w:eastAsia="DejaVu Sans" w:hAnsi="Calibri" w:cs="font290"/>
          <w:i/>
          <w:kern w:val="1"/>
        </w:rPr>
        <w:t>nudges</w:t>
      </w:r>
      <w:r w:rsidRPr="00766BC7">
        <w:rPr>
          <w:rFonts w:ascii="Calibri" w:eastAsia="DejaVu Sans" w:hAnsi="Calibri" w:cs="font290"/>
          <w:kern w:val="1"/>
        </w:rPr>
        <w:t xml:space="preserve"> soulève des questions à propos de la façon dont ils s’intègrent dans la politique publique. Ces « coups de pouce » (</w:t>
      </w:r>
      <w:r w:rsidRPr="00766BC7">
        <w:rPr>
          <w:rFonts w:ascii="Calibri" w:eastAsia="DejaVu Sans" w:hAnsi="Calibri" w:cs="font290"/>
          <w:i/>
          <w:kern w:val="1"/>
        </w:rPr>
        <w:t>nudges</w:t>
      </w:r>
      <w:r w:rsidRPr="00766BC7">
        <w:rPr>
          <w:rFonts w:ascii="Calibri" w:eastAsia="DejaVu Sans" w:hAnsi="Calibri" w:cs="font290"/>
          <w:kern w:val="1"/>
        </w:rPr>
        <w:t xml:space="preserve">) ne sont-ils pas destinés à favoriser « les bons choix », par exemple en modifiant la façon dont est présenté le coût d’un prêt, une information nutritionnelle ou de santé? Mais alors, où est la limite entre d’une part l’information offerte aux individus pour permettre des choix plus libres, et d’autre part la simple manipulation de l’opinion ? On peut accepter sans doute les techniques de marketing du secteur privé et même certaines campagnes d’intérêt public visant, par exemple, le tabagisme ou l’alimentation ; doit-on pour autant ériger les « coups de pouce » en nouvelle modalité d’intervention étatique et d’action politique et publique ?  </w:t>
      </w:r>
    </w:p>
    <w:p w:rsidR="00766BC7" w:rsidRPr="00766BC7" w:rsidRDefault="00766BC7" w:rsidP="00766BC7">
      <w:pPr>
        <w:suppressAutoHyphens/>
        <w:spacing w:after="120"/>
        <w:jc w:val="both"/>
        <w:rPr>
          <w:rFonts w:ascii="Calibri" w:eastAsia="DejaVu Sans" w:hAnsi="Calibri" w:cs="font290"/>
          <w:kern w:val="1"/>
        </w:rPr>
      </w:pPr>
      <w:r w:rsidRPr="00766BC7">
        <w:rPr>
          <w:rFonts w:ascii="Calibri" w:eastAsia="DejaVu Sans" w:hAnsi="Calibri" w:cs="font290"/>
          <w:kern w:val="1"/>
        </w:rPr>
        <w:t xml:space="preserve">Dans le WDR, c’est l’absence de ces questions qui pourra décevoir le lecteur. Elles eussent avantageusement complété les chapitres restés trop techniques sur la santé, la productivité, l’éducation et le climat. A la présentation du rapport à l’AFD (20/01/2015), l’auditoire a observé que les </w:t>
      </w:r>
      <w:r w:rsidRPr="00766BC7">
        <w:rPr>
          <w:rFonts w:ascii="Calibri" w:eastAsia="DejaVu Sans" w:hAnsi="Calibri" w:cs="font290"/>
          <w:i/>
          <w:kern w:val="1"/>
        </w:rPr>
        <w:t>nudges</w:t>
      </w:r>
      <w:r w:rsidRPr="00766BC7">
        <w:rPr>
          <w:rFonts w:ascii="Calibri" w:eastAsia="DejaVu Sans" w:hAnsi="Calibri" w:cs="font290"/>
          <w:kern w:val="1"/>
        </w:rPr>
        <w:t xml:space="preserve"> semblaient se contenter toujours d’ajuster à la marge les mesures de politique économique, sans s’attaquer à des problèmes plus généraux, par exemple à la lutte « politique » pour l’arrêt de subventions aux exportations agricoles… En réponse, les auteurs du rapport ont laissé entendre que les</w:t>
      </w:r>
      <w:r w:rsidRPr="00766BC7">
        <w:rPr>
          <w:rFonts w:ascii="Calibri" w:eastAsia="DejaVu Sans" w:hAnsi="Calibri" w:cs="font290"/>
          <w:i/>
          <w:kern w:val="1"/>
        </w:rPr>
        <w:t xml:space="preserve"> nudges</w:t>
      </w:r>
      <w:r w:rsidRPr="00766BC7">
        <w:rPr>
          <w:rFonts w:ascii="Calibri" w:eastAsia="DejaVu Sans" w:hAnsi="Calibri" w:cs="font290"/>
          <w:kern w:val="1"/>
        </w:rPr>
        <w:t xml:space="preserve"> ne pouvaient concerner des décisions de trop grande portée. </w:t>
      </w:r>
    </w:p>
    <w:p w:rsidR="00766BC7" w:rsidRPr="00766BC7" w:rsidRDefault="00766BC7" w:rsidP="00766BC7">
      <w:pPr>
        <w:suppressAutoHyphens/>
        <w:spacing w:after="120"/>
        <w:jc w:val="both"/>
        <w:rPr>
          <w:rFonts w:ascii="Calibri" w:eastAsia="DejaVu Sans" w:hAnsi="Calibri" w:cs="font290"/>
          <w:kern w:val="1"/>
        </w:rPr>
      </w:pPr>
      <w:r w:rsidRPr="00766BC7">
        <w:rPr>
          <w:rFonts w:ascii="Calibri" w:eastAsia="DejaVu Sans" w:hAnsi="Calibri" w:cs="font290"/>
          <w:kern w:val="1"/>
        </w:rPr>
        <w:t xml:space="preserve">Dès lors que la Banque mondiale a préféré s’abstenir d’aborder des questions de choix de société et d’objectifs des politiques, le WDR 2015 se contente d’outils conformes aux cadres existants (la régulation législative et les outils de marchés) et fait valoir l’efficacité de ces outils pour atteindre les objectifs ou exercer les arbitrages voulus, sans remettre en cause les valeurs incontestées. Ainsi lit-on que les  « droits de l’homme ratifiés par de nombreux pays peuvent servir de principe directeur pour </w:t>
      </w:r>
      <w:r w:rsidRPr="00766BC7">
        <w:rPr>
          <w:rFonts w:ascii="Calibri" w:eastAsia="DejaVu Sans" w:hAnsi="Calibri" w:cs="font290"/>
          <w:kern w:val="1"/>
        </w:rPr>
        <w:lastRenderedPageBreak/>
        <w:t xml:space="preserve">gérer [les] arbitrages entre … les libertés individuelles et les objectifs collectifs… sur lesquelles les acteurs du développement affichent des divergences d’opinions » </w:t>
      </w:r>
      <w:r w:rsidR="0004140D">
        <w:rPr>
          <w:rFonts w:ascii="Calibri" w:eastAsia="DejaVu Sans" w:hAnsi="Calibri" w:cs="font290"/>
          <w:kern w:val="1"/>
        </w:rPr>
        <w:t>(</w:t>
      </w:r>
      <w:r w:rsidRPr="00766BC7">
        <w:rPr>
          <w:rFonts w:ascii="Calibri" w:eastAsia="DejaVu Sans" w:hAnsi="Calibri" w:cs="font290"/>
          <w:kern w:val="1"/>
        </w:rPr>
        <w:t xml:space="preserve">p. 203). Au-delà du fait que l’on peut voir dans ces valeurs une vision universelle, on peut s’interroger sur la façon dont elles s’appliquent différemment selon les contextes culturels. </w:t>
      </w:r>
    </w:p>
    <w:p w:rsidR="00766BC7" w:rsidRPr="00766BC7" w:rsidRDefault="00766BC7" w:rsidP="00766BC7">
      <w:pPr>
        <w:suppressAutoHyphens/>
        <w:spacing w:after="120"/>
        <w:jc w:val="both"/>
        <w:rPr>
          <w:rFonts w:ascii="Calibri" w:eastAsia="DejaVu Sans" w:hAnsi="Calibri" w:cs="font290"/>
          <w:kern w:val="1"/>
        </w:rPr>
      </w:pPr>
      <w:r w:rsidRPr="00766BC7">
        <w:rPr>
          <w:rFonts w:ascii="Calibri" w:eastAsia="DejaVu Sans" w:hAnsi="Calibri" w:cs="font290"/>
          <w:kern w:val="1"/>
        </w:rPr>
        <w:t xml:space="preserve">Pour traiter des questions de choix de société, une véritable multidisciplinarité (histoire, philosophie…) est indispensable, même si l’économie intègre sans cesse de nouveaux éléments (les nouveaux indicateurs de bien être, par exemple).  Il est à souhaiter que le futur WDR sur « </w:t>
      </w:r>
      <w:r w:rsidRPr="00766BC7">
        <w:rPr>
          <w:rFonts w:ascii="Calibri" w:eastAsia="DejaVu Sans" w:hAnsi="Calibri" w:cs="font290"/>
          <w:i/>
          <w:kern w:val="1"/>
        </w:rPr>
        <w:t>Governance and Law</w:t>
      </w:r>
      <w:r w:rsidRPr="00766BC7">
        <w:rPr>
          <w:rFonts w:ascii="Calibri" w:eastAsia="DejaVu Sans" w:hAnsi="Calibri" w:cs="font290"/>
          <w:kern w:val="1"/>
        </w:rPr>
        <w:t xml:space="preserve"> », prévu pour 2017, ouvrira plus franchement la porte des réflexions pluridisciplinaires. </w:t>
      </w:r>
    </w:p>
    <w:p w:rsidR="00766BC7" w:rsidRPr="00766BC7" w:rsidRDefault="00766BC7" w:rsidP="00766BC7">
      <w:pPr>
        <w:suppressAutoHyphens/>
        <w:spacing w:after="120"/>
        <w:jc w:val="both"/>
        <w:rPr>
          <w:rFonts w:ascii="Calibri" w:eastAsia="DejaVu Sans" w:hAnsi="Calibri" w:cs="font290"/>
          <w:b/>
          <w:kern w:val="1"/>
        </w:rPr>
      </w:pPr>
      <w:r w:rsidRPr="00766BC7">
        <w:rPr>
          <w:rFonts w:ascii="Calibri" w:eastAsia="DejaVu Sans" w:hAnsi="Calibri" w:cs="font290"/>
          <w:b/>
          <w:kern w:val="1"/>
        </w:rPr>
        <w:t>Quelques applications opérationnelles à l’AFD</w:t>
      </w:r>
    </w:p>
    <w:p w:rsidR="00766BC7" w:rsidRPr="00766BC7" w:rsidRDefault="00766BC7" w:rsidP="00766BC7">
      <w:pPr>
        <w:suppressAutoHyphens/>
        <w:spacing w:after="120"/>
        <w:jc w:val="both"/>
        <w:rPr>
          <w:rFonts w:ascii="Calibri" w:eastAsia="DejaVu Sans" w:hAnsi="Calibri" w:cs="font290"/>
          <w:bCs/>
          <w:kern w:val="1"/>
        </w:rPr>
      </w:pPr>
      <w:r w:rsidRPr="00766BC7">
        <w:rPr>
          <w:rFonts w:ascii="Calibri" w:eastAsia="DejaVu Sans" w:hAnsi="Calibri" w:cs="font290"/>
          <w:bCs/>
          <w:kern w:val="1"/>
        </w:rPr>
        <w:t xml:space="preserve">Le chapitre 3 du rapport, consacré aux modèles mentaux (pp. 62-75), est une des parties du rapport qui évoque les effets culturels généraux des réformes poursuivies, par opposition aux effets particuliers des </w:t>
      </w:r>
      <w:r w:rsidRPr="00766BC7">
        <w:rPr>
          <w:rFonts w:ascii="Calibri" w:eastAsia="DejaVu Sans" w:hAnsi="Calibri" w:cs="font290"/>
          <w:bCs/>
          <w:i/>
          <w:kern w:val="1"/>
        </w:rPr>
        <w:t>nudges</w:t>
      </w:r>
      <w:r w:rsidRPr="00766BC7">
        <w:rPr>
          <w:rFonts w:ascii="Calibri" w:eastAsia="DejaVu Sans" w:hAnsi="Calibri" w:cs="font290"/>
          <w:bCs/>
          <w:kern w:val="1"/>
        </w:rPr>
        <w:t>. Ces effets sont généralement liés aux institutions. Le développement ne se prête pas toujours à l'approche quantitative de l’expérimentation et doit aussi savoir recourir aux observations ethnographiques plus générales et qualitatives pour concevoir des réformes adaptées aux contextes culturels locaux, selon les principes « d'appropriation » et « d'alignement » de la déclaration de Paris sur l'efficacité de l'aide (OCDE, 2005). Illustrative à ce titre est l'évaluation faite en 2013 sur les interventions de l'AFD dans l'hydraulique pastorale au Tchad. Cette évaluation fait apparaître une organisation de grande ampleur fondée sur un dialogue effectif de terrain et une action de longue haleine. Le processus itératif d'observations et d'amélioration progressive des interventions illustre en particulier le schéma présenté à la figure 11.1 page 193.</w:t>
      </w:r>
    </w:p>
    <w:p w:rsidR="00766BC7" w:rsidRPr="00766BC7" w:rsidRDefault="00766BC7" w:rsidP="00766BC7">
      <w:pPr>
        <w:suppressAutoHyphens/>
        <w:spacing w:after="120"/>
        <w:jc w:val="both"/>
        <w:rPr>
          <w:rFonts w:ascii="Calibri" w:eastAsia="DejaVu Sans" w:hAnsi="Calibri" w:cs="font290"/>
          <w:bCs/>
          <w:kern w:val="1"/>
        </w:rPr>
      </w:pPr>
      <w:r w:rsidRPr="00766BC7">
        <w:rPr>
          <w:rFonts w:ascii="Calibri" w:eastAsia="DejaVu Sans" w:hAnsi="Calibri" w:cs="font290"/>
          <w:bCs/>
          <w:kern w:val="1"/>
        </w:rPr>
        <w:t xml:space="preserve">Le « </w:t>
      </w:r>
      <w:r w:rsidRPr="00766BC7">
        <w:rPr>
          <w:rFonts w:ascii="Calibri" w:eastAsia="DejaVu Sans" w:hAnsi="Calibri" w:cs="font290"/>
          <w:bCs/>
          <w:i/>
          <w:kern w:val="1"/>
        </w:rPr>
        <w:t>Spotlight 4</w:t>
      </w:r>
      <w:r w:rsidRPr="00766BC7">
        <w:rPr>
          <w:rFonts w:ascii="Calibri" w:eastAsia="DejaVu Sans" w:hAnsi="Calibri" w:cs="font290"/>
          <w:bCs/>
          <w:kern w:val="1"/>
        </w:rPr>
        <w:t xml:space="preserve"> » (pages 144-145), auquel l'AFD a contribué, propose d'utiliser une meilleure compréhension du cadre d’interprétation culturel pour comprendre les logiques d’organisation et de gestion (elle s’inspire en cela d’une lecture ethnographique). Ce </w:t>
      </w:r>
      <w:r w:rsidRPr="00766BC7">
        <w:rPr>
          <w:rFonts w:ascii="Calibri" w:eastAsia="DejaVu Sans" w:hAnsi="Calibri" w:cs="font290"/>
          <w:bCs/>
          <w:i/>
          <w:kern w:val="1"/>
        </w:rPr>
        <w:t>Spotlight</w:t>
      </w:r>
      <w:r w:rsidRPr="00766BC7">
        <w:rPr>
          <w:rFonts w:ascii="Calibri" w:eastAsia="DejaVu Sans" w:hAnsi="Calibri" w:cs="font290"/>
          <w:bCs/>
          <w:kern w:val="1"/>
        </w:rPr>
        <w:t xml:space="preserve"> fait valoir par exemple l’efficacité qui a pu être tirée de manuels de gestion détaillées, pour améliorer la motivation et l'efficacité des employés dans des entreprises africaines.  </w:t>
      </w:r>
    </w:p>
    <w:p w:rsidR="00766BC7" w:rsidRPr="00766BC7" w:rsidRDefault="00766BC7" w:rsidP="00766BC7">
      <w:pPr>
        <w:suppressAutoHyphens/>
        <w:spacing w:after="120"/>
        <w:jc w:val="both"/>
        <w:rPr>
          <w:rFonts w:ascii="Calibri" w:eastAsia="DejaVu Sans" w:hAnsi="Calibri" w:cs="font290"/>
          <w:b/>
          <w:bCs/>
          <w:kern w:val="1"/>
        </w:rPr>
      </w:pPr>
    </w:p>
    <w:p w:rsidR="00766BC7" w:rsidRPr="00766BC7" w:rsidRDefault="00766BC7" w:rsidP="00766BC7">
      <w:pPr>
        <w:suppressAutoHyphens/>
        <w:jc w:val="both"/>
        <w:rPr>
          <w:rFonts w:ascii="Calibri" w:eastAsia="DejaVu Sans" w:hAnsi="Calibri" w:cs="font290"/>
          <w:b/>
          <w:bCs/>
          <w:kern w:val="1"/>
        </w:rPr>
      </w:pPr>
    </w:p>
    <w:p w:rsidR="00E02804" w:rsidRDefault="00E02804" w:rsidP="00E02804">
      <w:pPr>
        <w:suppressAutoHyphens/>
        <w:spacing w:after="0"/>
        <w:jc w:val="right"/>
        <w:rPr>
          <w:rFonts w:ascii="Calibri" w:eastAsia="DejaVu Sans" w:hAnsi="Calibri" w:cs="font290"/>
          <w:bCs/>
          <w:kern w:val="1"/>
        </w:rPr>
      </w:pPr>
      <w:r w:rsidRPr="00E02804">
        <w:rPr>
          <w:rFonts w:ascii="Calibri" w:eastAsia="DejaVu Sans" w:hAnsi="Calibri" w:cs="font290"/>
          <w:b/>
          <w:bCs/>
          <w:kern w:val="1"/>
        </w:rPr>
        <w:t>Source</w:t>
      </w:r>
      <w:r w:rsidRPr="00E02804">
        <w:rPr>
          <w:rFonts w:ascii="Calibri" w:eastAsia="DejaVu Sans" w:hAnsi="Calibri" w:cs="font290"/>
          <w:bCs/>
          <w:kern w:val="1"/>
        </w:rPr>
        <w:t> : Agence française de développement</w:t>
      </w:r>
      <w:r>
        <w:rPr>
          <w:rFonts w:ascii="Calibri" w:eastAsia="DejaVu Sans" w:hAnsi="Calibri" w:cs="font290"/>
          <w:bCs/>
          <w:kern w:val="1"/>
        </w:rPr>
        <w:t xml:space="preserve">, </w:t>
      </w:r>
    </w:p>
    <w:p w:rsidR="00E02804" w:rsidRDefault="00E02804" w:rsidP="00E02804">
      <w:pPr>
        <w:suppressAutoHyphens/>
        <w:jc w:val="right"/>
        <w:rPr>
          <w:rFonts w:ascii="Calibri" w:eastAsia="DejaVu Sans" w:hAnsi="Calibri" w:cs="font290"/>
          <w:bCs/>
          <w:kern w:val="1"/>
        </w:rPr>
      </w:pPr>
      <w:r>
        <w:rPr>
          <w:rFonts w:ascii="Calibri" w:eastAsia="DejaVu Sans" w:hAnsi="Calibri" w:cs="font290"/>
          <w:bCs/>
          <w:kern w:val="1"/>
        </w:rPr>
        <w:t xml:space="preserve">avec la collaboration de : </w:t>
      </w:r>
      <w:r w:rsidRPr="00E02804">
        <w:rPr>
          <w:rFonts w:ascii="Calibri" w:eastAsia="DejaVu Sans" w:hAnsi="Calibri" w:cs="font290"/>
          <w:bCs/>
          <w:kern w:val="1"/>
        </w:rPr>
        <w:t xml:space="preserve">Armand Rioust de Largentaye </w:t>
      </w:r>
    </w:p>
    <w:p w:rsidR="00766BC7" w:rsidRPr="00766BC7" w:rsidRDefault="00766BC7" w:rsidP="00766BC7">
      <w:pPr>
        <w:suppressAutoHyphens/>
        <w:jc w:val="both"/>
        <w:rPr>
          <w:rFonts w:ascii="Calibri" w:eastAsia="DejaVu Sans" w:hAnsi="Calibri" w:cs="font290"/>
          <w:b/>
          <w:bCs/>
          <w:kern w:val="1"/>
        </w:rPr>
      </w:pPr>
      <w:r w:rsidRPr="00766BC7">
        <w:rPr>
          <w:rFonts w:ascii="Calibri" w:eastAsia="DejaVu Sans" w:hAnsi="Calibri" w:cs="font290"/>
          <w:b/>
          <w:bCs/>
          <w:kern w:val="1"/>
        </w:rPr>
        <w:br w:type="page"/>
      </w:r>
    </w:p>
    <w:p w:rsidR="00766BC7" w:rsidRPr="00766BC7" w:rsidRDefault="00766BC7" w:rsidP="00766BC7">
      <w:pPr>
        <w:suppressAutoHyphens/>
        <w:jc w:val="both"/>
        <w:rPr>
          <w:rFonts w:ascii="Calibri" w:eastAsia="DejaVu Sans" w:hAnsi="Calibri" w:cs="font290"/>
          <w:kern w:val="1"/>
        </w:rPr>
      </w:pPr>
      <w:r w:rsidRPr="00766BC7">
        <w:rPr>
          <w:rFonts w:ascii="Calibri" w:eastAsia="DejaVu Sans" w:hAnsi="Calibri" w:cs="font290"/>
          <w:b/>
          <w:bCs/>
          <w:kern w:val="1"/>
        </w:rPr>
        <w:lastRenderedPageBreak/>
        <w:t>Références</w:t>
      </w:r>
    </w:p>
    <w:p w:rsidR="00766BC7" w:rsidRPr="005F2722" w:rsidRDefault="00766BC7" w:rsidP="00766BC7">
      <w:pPr>
        <w:numPr>
          <w:ilvl w:val="0"/>
          <w:numId w:val="6"/>
        </w:numPr>
        <w:suppressAutoHyphens/>
        <w:spacing w:after="0"/>
        <w:jc w:val="both"/>
        <w:rPr>
          <w:rFonts w:ascii="Calibri" w:eastAsia="DejaVu Sans" w:hAnsi="Calibri" w:cs="font290"/>
          <w:kern w:val="1"/>
        </w:rPr>
      </w:pPr>
      <w:r w:rsidRPr="00766BC7">
        <w:rPr>
          <w:rFonts w:ascii="Calibri" w:eastAsia="DejaVu Sans" w:hAnsi="Calibri" w:cs="font290"/>
          <w:kern w:val="1"/>
        </w:rPr>
        <w:t xml:space="preserve">AFD exPost n°51 « Secteur de l'hydraulique pastorale au Tchad », Evaluation et capitalisation de 20 ans d'intervention de l'AFD. </w:t>
      </w:r>
      <w:r w:rsidRPr="005F2722">
        <w:rPr>
          <w:rFonts w:ascii="Calibri" w:eastAsia="DejaVu Sans" w:hAnsi="Calibri" w:cs="font290"/>
          <w:kern w:val="1"/>
        </w:rPr>
        <w:t>Saverio Krätli, Marie Monimart, Blamah Jallo, Jeremy Swift, Ced Hesse.</w:t>
      </w:r>
    </w:p>
    <w:p w:rsidR="00766BC7" w:rsidRPr="00766BC7" w:rsidRDefault="00766BC7" w:rsidP="00766BC7">
      <w:pPr>
        <w:numPr>
          <w:ilvl w:val="0"/>
          <w:numId w:val="6"/>
        </w:numPr>
        <w:suppressAutoHyphens/>
        <w:spacing w:after="0"/>
        <w:ind w:left="750"/>
        <w:jc w:val="both"/>
        <w:rPr>
          <w:rFonts w:ascii="Calibri" w:eastAsia="DejaVu Sans" w:hAnsi="Calibri" w:cs="font290"/>
          <w:kern w:val="1"/>
        </w:rPr>
      </w:pPr>
      <w:r w:rsidRPr="00766BC7">
        <w:rPr>
          <w:rFonts w:ascii="Calibri" w:eastAsia="DejaVu Sans" w:hAnsi="Calibri" w:cs="font290"/>
          <w:kern w:val="1"/>
        </w:rPr>
        <w:t xml:space="preserve">Banque mondiale. Rapport sur le développement dans le monde 2015 « Pensée, société et comportement »  </w:t>
      </w:r>
      <w:hyperlink r:id="rId10" w:history="1">
        <w:r w:rsidRPr="00766BC7">
          <w:rPr>
            <w:rFonts w:ascii="Calibri" w:eastAsia="DejaVu Sans" w:hAnsi="Calibri" w:cs="font290"/>
            <w:color w:val="000080"/>
            <w:kern w:val="1"/>
            <w:u w:val="single"/>
          </w:rPr>
          <w:t>http://www.worldbank.org/content/dam/Worldbank/Publications/WDR/WDR%202015/Overview-French.pdf</w:t>
        </w:r>
      </w:hyperlink>
    </w:p>
    <w:p w:rsidR="00766BC7" w:rsidRPr="00766BC7" w:rsidRDefault="00766BC7" w:rsidP="00766BC7">
      <w:pPr>
        <w:numPr>
          <w:ilvl w:val="0"/>
          <w:numId w:val="6"/>
        </w:numPr>
        <w:suppressAutoHyphens/>
        <w:spacing w:after="0"/>
        <w:jc w:val="both"/>
        <w:rPr>
          <w:rFonts w:ascii="Calibri" w:eastAsia="DejaVu Sans" w:hAnsi="Calibri" w:cs="font290"/>
          <w:kern w:val="1"/>
        </w:rPr>
      </w:pPr>
      <w:r w:rsidRPr="00766BC7">
        <w:rPr>
          <w:rFonts w:ascii="Calibri" w:eastAsia="DejaVu Sans" w:hAnsi="Calibri" w:cs="font290"/>
          <w:kern w:val="1"/>
        </w:rPr>
        <w:t>Châtaigner, Jean-Marc, et Magro, Hervé (sous la direction de) « Etats et sociétés fragiles. Entre conflits, reconstruction et développement », Paris, Karthala, 2007</w:t>
      </w:r>
    </w:p>
    <w:p w:rsidR="00766BC7" w:rsidRPr="00766BC7" w:rsidRDefault="00766BC7" w:rsidP="00766BC7">
      <w:pPr>
        <w:numPr>
          <w:ilvl w:val="0"/>
          <w:numId w:val="6"/>
        </w:numPr>
        <w:suppressAutoHyphens/>
        <w:spacing w:after="0"/>
        <w:ind w:left="765" w:hanging="750"/>
        <w:jc w:val="both"/>
        <w:rPr>
          <w:rFonts w:ascii="Calibri" w:eastAsia="DejaVu Sans" w:hAnsi="Calibri" w:cs="font290"/>
          <w:kern w:val="1"/>
        </w:rPr>
      </w:pPr>
      <w:r w:rsidRPr="00766BC7">
        <w:rPr>
          <w:rFonts w:ascii="Calibri" w:eastAsia="DejaVu Sans" w:hAnsi="Calibri" w:cs="font290"/>
          <w:kern w:val="1"/>
        </w:rPr>
        <w:t>Chevrier, S., Globkar, T., Henry, A., Segal, J.P. « Culture et mondialisation. Gérer par-delà la frontière », Paris, Poche, 2002 </w:t>
      </w:r>
    </w:p>
    <w:p w:rsidR="00766BC7" w:rsidRPr="00766BC7" w:rsidRDefault="00766BC7" w:rsidP="00766BC7">
      <w:pPr>
        <w:numPr>
          <w:ilvl w:val="0"/>
          <w:numId w:val="6"/>
        </w:numPr>
        <w:suppressAutoHyphens/>
        <w:spacing w:after="0"/>
        <w:ind w:left="780"/>
        <w:jc w:val="both"/>
        <w:rPr>
          <w:rFonts w:ascii="Calibri" w:eastAsia="DejaVu Sans" w:hAnsi="Calibri" w:cs="font290"/>
          <w:kern w:val="1"/>
        </w:rPr>
      </w:pPr>
      <w:r w:rsidRPr="00766BC7">
        <w:rPr>
          <w:rFonts w:ascii="Calibri" w:eastAsia="DejaVu Sans" w:hAnsi="Calibri" w:cs="font290"/>
          <w:kern w:val="1"/>
        </w:rPr>
        <w:t xml:space="preserve">d'Iribarne, Philippe « Culture et développement, les questions de management » </w:t>
      </w:r>
      <w:hyperlink r:id="rId11" w:history="1">
        <w:r w:rsidRPr="00766BC7">
          <w:rPr>
            <w:rFonts w:ascii="Calibri" w:eastAsia="DejaVu Sans" w:hAnsi="Calibri" w:cs="font290"/>
            <w:color w:val="000080"/>
            <w:kern w:val="1"/>
            <w:u w:val="single"/>
          </w:rPr>
          <w:t>http://www.cefeb.org/webdav/site/afd/shared/PORTAILS/PUBLICATIONS/EUDN/EUDN2007/d%27Iribarne.pdf</w:t>
        </w:r>
      </w:hyperlink>
    </w:p>
    <w:p w:rsidR="00766BC7" w:rsidRPr="00766BC7" w:rsidRDefault="00766BC7" w:rsidP="00766BC7">
      <w:pPr>
        <w:numPr>
          <w:ilvl w:val="0"/>
          <w:numId w:val="6"/>
        </w:numPr>
        <w:suppressAutoHyphens/>
        <w:spacing w:after="0"/>
        <w:rPr>
          <w:rFonts w:ascii="Calibri" w:eastAsia="DejaVu Sans" w:hAnsi="Calibri" w:cs="font290"/>
          <w:kern w:val="1"/>
        </w:rPr>
      </w:pPr>
      <w:r w:rsidRPr="00766BC7">
        <w:rPr>
          <w:rFonts w:ascii="Calibri" w:eastAsia="DejaVu Sans" w:hAnsi="Calibri" w:cs="font290"/>
          <w:kern w:val="1"/>
        </w:rPr>
        <w:t>OCDE, Déclaration de Paris sur l'efficacité de l'aide, 2005</w:t>
      </w:r>
    </w:p>
    <w:p w:rsidR="00766BC7" w:rsidRPr="00766BC7" w:rsidRDefault="00766BC7" w:rsidP="00766BC7">
      <w:pPr>
        <w:numPr>
          <w:ilvl w:val="0"/>
          <w:numId w:val="6"/>
        </w:numPr>
        <w:suppressAutoHyphens/>
        <w:spacing w:after="0"/>
        <w:jc w:val="both"/>
        <w:rPr>
          <w:rFonts w:ascii="Calibri" w:eastAsia="DejaVu Sans" w:hAnsi="Calibri" w:cs="font290"/>
          <w:kern w:val="1"/>
        </w:rPr>
      </w:pPr>
      <w:r w:rsidRPr="00766BC7">
        <w:rPr>
          <w:rFonts w:ascii="Calibri" w:eastAsia="DejaVu Sans" w:hAnsi="Calibri" w:cs="font290"/>
          <w:kern w:val="1"/>
        </w:rPr>
        <w:t>Paulais, Thierry « Financer les villes d'Afrique, l'enjeu de l'investisseemnt local » AFD, Banque mondiale, Pearson Education France 2012</w:t>
      </w:r>
    </w:p>
    <w:p w:rsidR="00766BC7" w:rsidRPr="00766BC7" w:rsidRDefault="00766BC7" w:rsidP="00766BC7">
      <w:pPr>
        <w:numPr>
          <w:ilvl w:val="0"/>
          <w:numId w:val="6"/>
        </w:numPr>
        <w:suppressAutoHyphens/>
        <w:spacing w:after="0"/>
        <w:jc w:val="both"/>
        <w:rPr>
          <w:rFonts w:ascii="Calibri" w:eastAsia="DejaVu Sans" w:hAnsi="Calibri" w:cs="font290"/>
          <w:b/>
          <w:bCs/>
          <w:kern w:val="1"/>
        </w:rPr>
      </w:pPr>
      <w:r w:rsidRPr="00766BC7">
        <w:rPr>
          <w:rFonts w:ascii="Calibri" w:eastAsia="DejaVu Sans" w:hAnsi="Calibri" w:cs="font290"/>
          <w:kern w:val="1"/>
        </w:rPr>
        <w:t>Thaler, Richard H., Sunstein, Cass R. « Nudge », Paris, Vuibert, 2010</w:t>
      </w:r>
    </w:p>
    <w:p w:rsidR="00766BC7" w:rsidRPr="00766BC7" w:rsidRDefault="00766BC7" w:rsidP="00766BC7">
      <w:pPr>
        <w:suppressAutoHyphens/>
        <w:spacing w:after="0"/>
        <w:ind w:hanging="360"/>
        <w:jc w:val="both"/>
        <w:rPr>
          <w:rFonts w:ascii="Calibri" w:eastAsia="DejaVu Sans" w:hAnsi="Calibri" w:cs="font290"/>
          <w:b/>
          <w:bCs/>
          <w:kern w:val="1"/>
        </w:rPr>
      </w:pPr>
    </w:p>
    <w:p w:rsidR="00766BC7" w:rsidRPr="00766BC7" w:rsidRDefault="00766BC7" w:rsidP="00766BC7">
      <w:pPr>
        <w:suppressAutoHyphens/>
        <w:jc w:val="both"/>
        <w:rPr>
          <w:rFonts w:ascii="Calibri" w:eastAsia="DejaVu Sans" w:hAnsi="Calibri" w:cs="font290"/>
          <w:b/>
          <w:bCs/>
          <w:kern w:val="1"/>
          <w:sz w:val="24"/>
          <w:szCs w:val="24"/>
        </w:rPr>
      </w:pPr>
    </w:p>
    <w:p w:rsidR="00766BC7" w:rsidRPr="00766BC7" w:rsidRDefault="00766BC7" w:rsidP="00766BC7">
      <w:pPr>
        <w:suppressAutoHyphens/>
        <w:jc w:val="both"/>
        <w:rPr>
          <w:rFonts w:ascii="Calibri" w:eastAsia="DejaVu Sans" w:hAnsi="Calibri" w:cs="font290"/>
          <w:b/>
          <w:bCs/>
          <w:kern w:val="1"/>
          <w:sz w:val="24"/>
          <w:szCs w:val="24"/>
        </w:rPr>
      </w:pPr>
    </w:p>
    <w:sectPr w:rsidR="00766BC7" w:rsidRPr="00766BC7" w:rsidSect="000B0CAC">
      <w:headerReference w:type="default" r:id="rId12"/>
      <w:headerReference w:type="first" r:id="rId13"/>
      <w:footerReference w:type="first" r:id="rId14"/>
      <w:pgSz w:w="11906" w:h="16838"/>
      <w:pgMar w:top="1418" w:right="1418" w:bottom="1418"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BA1" w:rsidRDefault="00403BA1" w:rsidP="00AF4CFB">
      <w:pPr>
        <w:spacing w:after="0" w:line="240" w:lineRule="auto"/>
      </w:pPr>
      <w:r>
        <w:separator/>
      </w:r>
    </w:p>
  </w:endnote>
  <w:endnote w:type="continuationSeparator" w:id="0">
    <w:p w:rsidR="00403BA1" w:rsidRDefault="00403BA1" w:rsidP="00AF4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2"/>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DejaVu Sans">
    <w:altName w:val="Times New Roman"/>
    <w:panose1 w:val="00000000000000000000"/>
    <w:charset w:val="00"/>
    <w:family w:val="roman"/>
    <w:notTrueType/>
    <w:pitch w:val="default"/>
  </w:font>
  <w:font w:name="font290">
    <w:altName w:val="Times New Roman"/>
    <w:charset w:val="01"/>
    <w:family w:val="auto"/>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5AB" w:rsidRPr="003E45AB" w:rsidRDefault="003E45AB">
    <w:pPr>
      <w:pStyle w:val="Pieddepage"/>
      <w:pBdr>
        <w:top w:val="thinThickSmallGap" w:sz="24" w:space="1" w:color="622423" w:themeColor="accent2" w:themeShade="7F"/>
      </w:pBdr>
      <w:rPr>
        <w:rFonts w:eastAsiaTheme="majorEastAsia" w:cstheme="minorHAnsi"/>
        <w:sz w:val="18"/>
      </w:rPr>
    </w:pPr>
    <w:r w:rsidRPr="003E45AB">
      <w:rPr>
        <w:rFonts w:eastAsiaTheme="majorEastAsia" w:cstheme="minorHAnsi"/>
        <w:sz w:val="18"/>
      </w:rPr>
      <w:t>SPC-API : Direction de la Stratégie, des Partenariats et de la Communication</w:t>
    </w:r>
  </w:p>
  <w:p w:rsidR="003E45AB" w:rsidRPr="003E45AB" w:rsidRDefault="003E45AB">
    <w:pPr>
      <w:pStyle w:val="Pieddepage"/>
      <w:pBdr>
        <w:top w:val="thinThickSmallGap" w:sz="24" w:space="1" w:color="622423" w:themeColor="accent2" w:themeShade="7F"/>
      </w:pBdr>
      <w:rPr>
        <w:rFonts w:eastAsiaTheme="majorEastAsia" w:cstheme="minorHAnsi"/>
        <w:sz w:val="18"/>
      </w:rPr>
    </w:pPr>
    <w:r>
      <w:rPr>
        <w:rFonts w:eastAsiaTheme="majorEastAsia" w:cstheme="minorHAnsi"/>
        <w:sz w:val="18"/>
      </w:rPr>
      <w:t xml:space="preserve">                 </w:t>
    </w:r>
    <w:r w:rsidRPr="003E45AB">
      <w:rPr>
        <w:rFonts w:eastAsiaTheme="majorEastAsia" w:cstheme="minorHAnsi"/>
        <w:sz w:val="18"/>
      </w:rPr>
      <w:t>Division « Agenda de l’Aide et partenariats Internationaux »</w:t>
    </w:r>
    <w:r w:rsidRPr="003E45AB">
      <w:rPr>
        <w:rFonts w:eastAsiaTheme="majorEastAsia" w:cstheme="minorHAnsi"/>
        <w:sz w:val="18"/>
      </w:rPr>
      <w:ptab w:relativeTo="margin" w:alignment="right" w:leader="none"/>
    </w:r>
    <w:r w:rsidRPr="003E45AB">
      <w:rPr>
        <w:rFonts w:eastAsiaTheme="majorEastAsia" w:cstheme="minorHAnsi"/>
        <w:sz w:val="18"/>
      </w:rPr>
      <w:t xml:space="preserve">Page </w:t>
    </w:r>
    <w:r w:rsidRPr="003E45AB">
      <w:rPr>
        <w:rFonts w:eastAsiaTheme="minorEastAsia" w:cstheme="minorHAnsi"/>
        <w:sz w:val="18"/>
      </w:rPr>
      <w:fldChar w:fldCharType="begin"/>
    </w:r>
    <w:r w:rsidRPr="003E45AB">
      <w:rPr>
        <w:rFonts w:cstheme="minorHAnsi"/>
        <w:sz w:val="18"/>
      </w:rPr>
      <w:instrText>PAGE   \* MERGEFORMAT</w:instrText>
    </w:r>
    <w:r w:rsidRPr="003E45AB">
      <w:rPr>
        <w:rFonts w:eastAsiaTheme="minorEastAsia" w:cstheme="minorHAnsi"/>
        <w:sz w:val="18"/>
      </w:rPr>
      <w:fldChar w:fldCharType="separate"/>
    </w:r>
    <w:r w:rsidR="00786AC0" w:rsidRPr="00786AC0">
      <w:rPr>
        <w:rFonts w:eastAsiaTheme="majorEastAsia" w:cstheme="minorHAnsi"/>
        <w:noProof/>
        <w:sz w:val="18"/>
      </w:rPr>
      <w:t>1</w:t>
    </w:r>
    <w:r w:rsidRPr="003E45AB">
      <w:rPr>
        <w:rFonts w:eastAsiaTheme="majorEastAsia" w:cstheme="minorHAnsi"/>
        <w:sz w:val="18"/>
      </w:rPr>
      <w:fldChar w:fldCharType="end"/>
    </w:r>
  </w:p>
  <w:p w:rsidR="003E45AB" w:rsidRDefault="003E45A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BA1" w:rsidRDefault="00403BA1" w:rsidP="00AF4CFB">
      <w:pPr>
        <w:spacing w:after="0" w:line="240" w:lineRule="auto"/>
      </w:pPr>
      <w:r>
        <w:separator/>
      </w:r>
    </w:p>
  </w:footnote>
  <w:footnote w:type="continuationSeparator" w:id="0">
    <w:p w:rsidR="00403BA1" w:rsidRDefault="00403BA1" w:rsidP="00AF4CFB">
      <w:pPr>
        <w:spacing w:after="0" w:line="240" w:lineRule="auto"/>
      </w:pPr>
      <w:r>
        <w:continuationSeparator/>
      </w:r>
    </w:p>
  </w:footnote>
  <w:footnote w:id="1">
    <w:p w:rsidR="00766BC7" w:rsidRDefault="00766BC7" w:rsidP="00766BC7">
      <w:pPr>
        <w:pStyle w:val="Notedebasdepage"/>
      </w:pPr>
      <w:r>
        <w:rPr>
          <w:rStyle w:val="Appelnotedebasdep"/>
        </w:rPr>
        <w:footnoteRef/>
      </w:r>
      <w:r>
        <w:t xml:space="preserve"> </w:t>
      </w:r>
      <w:r w:rsidRPr="00D57D2B">
        <w:t>actuel directeur du bureau de l'information et de la régulation de l'administration Obama</w:t>
      </w:r>
    </w:p>
  </w:footnote>
  <w:footnote w:id="2">
    <w:p w:rsidR="00766BC7" w:rsidRPr="007D3C55" w:rsidRDefault="00766BC7" w:rsidP="00766BC7">
      <w:pPr>
        <w:pStyle w:val="Notedebasdepage"/>
      </w:pPr>
      <w:r w:rsidRPr="007D3C55">
        <w:rPr>
          <w:rStyle w:val="Appelnotedebasdep"/>
        </w:rPr>
        <w:footnoteRef/>
      </w:r>
      <w:r w:rsidRPr="007D3C55">
        <w:t xml:space="preserve"> L’AFD connait bien ce problème : </w:t>
      </w:r>
      <w:r>
        <w:t xml:space="preserve">par exemple, </w:t>
      </w:r>
      <w:r w:rsidRPr="007D3C55">
        <w:t>l'ouvrage « Etats et sociétés fragiles » (Karthala, 2007) auquel l'AFD a contribué, fournit l'exemple d'un projet d'alimentation en eau à Kinshasa dont le résultat a été non de servir le quartier défavorisé voulu mais au contraire d'alimenter le détournement de l'eau au profit de circuits de distribution illicites, aux dépens des populations.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7464748"/>
      <w:docPartObj>
        <w:docPartGallery w:val="Page Numbers (Top of Page)"/>
        <w:docPartUnique/>
      </w:docPartObj>
    </w:sdtPr>
    <w:sdtEndPr/>
    <w:sdtContent>
      <w:p w:rsidR="00E02804" w:rsidRDefault="00E02804">
        <w:pPr>
          <w:pStyle w:val="En-tte"/>
          <w:jc w:val="center"/>
        </w:pPr>
        <w:r>
          <w:fldChar w:fldCharType="begin"/>
        </w:r>
        <w:r>
          <w:instrText>PAGE   \* MERGEFORMAT</w:instrText>
        </w:r>
        <w:r>
          <w:fldChar w:fldCharType="separate"/>
        </w:r>
        <w:r w:rsidR="005F2722">
          <w:rPr>
            <w:noProof/>
          </w:rPr>
          <w:t>1</w:t>
        </w:r>
        <w:r>
          <w:fldChar w:fldCharType="end"/>
        </w:r>
      </w:p>
    </w:sdtContent>
  </w:sdt>
  <w:p w:rsidR="00AF4CFB" w:rsidRDefault="00AF4CFB">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294" w:rsidRDefault="001E5294">
    <w:pPr>
      <w:pStyle w:val="En-tte"/>
    </w:pPr>
    <w:r>
      <w:rPr>
        <w:noProof/>
        <w:lang w:eastAsia="fr-FR"/>
      </w:rPr>
      <mc:AlternateContent>
        <mc:Choice Requires="wpg">
          <w:drawing>
            <wp:anchor distT="0" distB="0" distL="114300" distR="114300" simplePos="0" relativeHeight="251659264" behindDoc="0" locked="0" layoutInCell="0" allowOverlap="1" wp14:anchorId="6ADEB2A0" wp14:editId="7C7799FC">
              <wp:simplePos x="0" y="0"/>
              <wp:positionH relativeFrom="page">
                <wp:align>center</wp:align>
              </wp:positionH>
              <wp:positionV relativeFrom="topMargin">
                <wp:align>center</wp:align>
              </wp:positionV>
              <wp:extent cx="7371080" cy="530225"/>
              <wp:effectExtent l="0" t="0" r="18415" b="22225"/>
              <wp:wrapNone/>
              <wp:docPr id="225" name="Groupe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1080" cy="530225"/>
                        <a:chOff x="330" y="308"/>
                        <a:chExt cx="11586" cy="835"/>
                      </a:xfrm>
                    </wpg:grpSpPr>
                    <wps:wsp>
                      <wps:cNvPr id="226" name="Rectangle 197"/>
                      <wps:cNvSpPr>
                        <a:spLocks noChangeArrowheads="1"/>
                      </wps:cNvSpPr>
                      <wps:spPr bwMode="auto">
                        <a:xfrm>
                          <a:off x="377" y="360"/>
                          <a:ext cx="9346" cy="720"/>
                        </a:xfrm>
                        <a:prstGeom prst="rect">
                          <a:avLst/>
                        </a:prstGeom>
                        <a:solidFill>
                          <a:schemeClr val="accent6">
                            <a:lumMod val="40000"/>
                            <a:lumOff val="60000"/>
                          </a:schemeClr>
                        </a:solidFill>
                        <a:extLst>
                          <a:ext uri="{91240B29-F687-4F45-9708-019B960494DF}">
                            <a14:hiddenLine xmlns:a14="http://schemas.microsoft.com/office/drawing/2010/main" w="19050">
                              <a:solidFill>
                                <a:srgbClr val="FFFFFF"/>
                              </a:solidFill>
                              <a:miter lim="800000"/>
                              <a:headEnd/>
                              <a:tailEnd/>
                            </a14:hiddenLine>
                          </a:ext>
                        </a:extLst>
                      </wps:spPr>
                      <wps:txbx>
                        <w:txbxContent>
                          <w:sdt>
                            <w:sdtPr>
                              <w:rPr>
                                <w:color w:val="000000" w:themeColor="text1"/>
                                <w:sz w:val="28"/>
                                <w:szCs w:val="28"/>
                              </w:rPr>
                              <w:alias w:val="Titre"/>
                              <w:id w:val="926695491"/>
                              <w:dataBinding w:prefixMappings="xmlns:ns0='http://schemas.openxmlformats.org/package/2006/metadata/core-properties' xmlns:ns1='http://purl.org/dc/elements/1.1/'" w:xpath="/ns0:coreProperties[1]/ns1:title[1]" w:storeItemID="{6C3C8BC8-F283-45AE-878A-BAB7291924A1}"/>
                              <w:text/>
                            </w:sdtPr>
                            <w:sdtEndPr/>
                            <w:sdtContent>
                              <w:p w:rsidR="001E5294" w:rsidRPr="003E45AB" w:rsidRDefault="00E76BD8" w:rsidP="003E45AB">
                                <w:pPr>
                                  <w:pStyle w:val="En-tte"/>
                                  <w:jc w:val="center"/>
                                  <w:rPr>
                                    <w:color w:val="000000" w:themeColor="text1"/>
                                    <w:sz w:val="28"/>
                                    <w:szCs w:val="28"/>
                                  </w:rPr>
                                </w:pPr>
                                <w:r>
                                  <w:rPr>
                                    <w:color w:val="000000" w:themeColor="text1"/>
                                    <w:sz w:val="28"/>
                                    <w:szCs w:val="28"/>
                                  </w:rPr>
                                  <w:t>Note de lecture API-ERS                       N° 3</w:t>
                                </w:r>
                              </w:p>
                            </w:sdtContent>
                          </w:sdt>
                        </w:txbxContent>
                      </wps:txbx>
                      <wps:bodyPr rot="0" vert="horz" wrap="square" lIns="91440" tIns="45720" rIns="91440" bIns="45720" anchor="ctr" anchorCtr="0" upright="1">
                        <a:noAutofit/>
                      </wps:bodyPr>
                    </wps:wsp>
                    <wps:wsp>
                      <wps:cNvPr id="227" name="Rectangle 198"/>
                      <wps:cNvSpPr>
                        <a:spLocks noChangeArrowheads="1"/>
                      </wps:cNvSpPr>
                      <wps:spPr bwMode="auto">
                        <a:xfrm>
                          <a:off x="9176" y="360"/>
                          <a:ext cx="2391" cy="720"/>
                        </a:xfrm>
                        <a:prstGeom prst="rect">
                          <a:avLst/>
                        </a:prstGeom>
                        <a:solidFill>
                          <a:schemeClr val="accent6">
                            <a:lumMod val="20000"/>
                            <a:lumOff val="80000"/>
                          </a:schemeClr>
                        </a:solidFill>
                        <a:extLst>
                          <a:ext uri="{91240B29-F687-4F45-9708-019B960494DF}">
                            <a14:hiddenLine xmlns:a14="http://schemas.microsoft.com/office/drawing/2010/main" w="25400">
                              <a:solidFill>
                                <a:srgbClr val="FFFFFF"/>
                              </a:solidFill>
                              <a:miter lim="800000"/>
                              <a:headEnd/>
                              <a:tailEnd/>
                            </a14:hiddenLine>
                          </a:ext>
                        </a:extLst>
                      </wps:spPr>
                      <wps:txbx>
                        <w:txbxContent>
                          <w:p w:rsidR="001E5294" w:rsidRPr="003E45AB" w:rsidRDefault="00786AC0" w:rsidP="003E45AB">
                            <w:pPr>
                              <w:pStyle w:val="En-tte"/>
                              <w:jc w:val="center"/>
                              <w:rPr>
                                <w:color w:val="000000" w:themeColor="text1"/>
                                <w:sz w:val="28"/>
                                <w:szCs w:val="36"/>
                              </w:rPr>
                            </w:pPr>
                            <w:r>
                              <w:rPr>
                                <w:color w:val="000000" w:themeColor="text1"/>
                                <w:sz w:val="28"/>
                                <w:szCs w:val="36"/>
                              </w:rPr>
                              <w:t xml:space="preserve">Octobre </w:t>
                            </w:r>
                            <w:sdt>
                              <w:sdtPr>
                                <w:rPr>
                                  <w:color w:val="000000" w:themeColor="text1"/>
                                  <w:sz w:val="28"/>
                                  <w:szCs w:val="36"/>
                                </w:rPr>
                                <w:alias w:val="Année"/>
                                <w:id w:val="1316526329"/>
                                <w:dataBinding w:prefixMappings="xmlns:ns0='http://schemas.microsoft.com/office/2006/coverPageProps'" w:xpath="/ns0:CoverPageProperties[1]/ns0:PublishDate[1]" w:storeItemID="{55AF091B-3C7A-41E3-B477-F2FDAA23CFDA}"/>
                                <w:date w:fullDate="2014-10-01T00:00:00Z">
                                  <w:dateFormat w:val="yyyy"/>
                                  <w:lid w:val="fr-FR"/>
                                  <w:storeMappedDataAs w:val="dateTime"/>
                                  <w:calendar w:val="gregorian"/>
                                </w:date>
                              </w:sdtPr>
                              <w:sdtEndPr/>
                              <w:sdtContent>
                                <w:r>
                                  <w:rPr>
                                    <w:color w:val="000000" w:themeColor="text1"/>
                                    <w:sz w:val="28"/>
                                    <w:szCs w:val="36"/>
                                  </w:rPr>
                                  <w:t>2014</w:t>
                                </w:r>
                              </w:sdtContent>
                            </w:sdt>
                          </w:p>
                        </w:txbxContent>
                      </wps:txbx>
                      <wps:bodyPr rot="0" vert="horz" wrap="square" lIns="91440" tIns="45720" rIns="91440" bIns="45720" anchor="ctr" anchorCtr="0" upright="1">
                        <a:noAutofit/>
                      </wps:bodyPr>
                    </wps:wsp>
                    <wps:wsp>
                      <wps:cNvPr id="228" name="Rectangle 199"/>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95000</wp14:pctWidth>
              </wp14:sizeRelH>
              <wp14:sizeRelV relativeFrom="page">
                <wp14:pctHeight>0</wp14:pctHeight>
              </wp14:sizeRelV>
            </wp:anchor>
          </w:drawing>
        </mc:Choice>
        <mc:Fallback>
          <w:pict>
            <v:group id="Groupe 196" o:spid="_x0000_s1026" style="position:absolute;margin-left:0;margin-top:0;width:580.4pt;height:41.75pt;z-index:251659264;mso-width-percent:950;mso-position-horizontal:center;mso-position-horizontal-relative:page;mso-position-vertical:center;mso-position-vertical-relative:top-margin-area;mso-width-percent:950"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" o:allowincell="f">
              <v:rect id="Rectangle 197" o:spid="_x0000_s1027" style="position:absolute;left:377;top:360;width:934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q0/MQA&#10;AADcAAAADwAAAGRycy9kb3ducmV2LnhtbESPQWsCMRSE74X+h/AKvdXs5iBlNYpoC5UeRFv0+tg8&#10;N4ubl3QTdf33jVDocZhvZpjpfHCduFAfW88aylEBgrj2puVGw/fX+8sriJiQDXaeScONIsxnjw9T&#10;rIy/8pYuu9SIXMKxQg02pVBJGWtLDuPIB+LsHX3vMGXZN9L0eM3lrpOqKMbSYct5wWKgpaX6tDs7&#10;DT8bpY63jITNalnu32w4lJ9rrZ+fhsUERKIh/cN/6Q+jQakx3M/kIy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6tPzEAAAA3AAAAA8AAAAAAAAAAAAAAAAAmAIAAGRycy9k&#10;b3ducmV2LnhtbFBLBQYAAAAABAAEAPUAAACJAwAAAAA=&#10;" fillcolor="#fbd4b4 [1305]" stroked="f" strokecolor="white" strokeweight="1.5pt">
                <v:textbox>
                  <w:txbxContent>
                    <w:sdt>
                      <w:sdtPr>
                        <w:rPr>
                          <w:color w:val="000000" w:themeColor="text1"/>
                          <w:sz w:val="28"/>
                          <w:szCs w:val="28"/>
                        </w:rPr>
                        <w:alias w:val="Titre"/>
                        <w:id w:val="926695491"/>
                        <w:dataBinding w:prefixMappings="xmlns:ns0='http://schemas.openxmlformats.org/package/2006/metadata/core-properties' xmlns:ns1='http://purl.org/dc/elements/1.1/'" w:xpath="/ns0:coreProperties[1]/ns1:title[1]" w:storeItemID="{6C3C8BC8-F283-45AE-878A-BAB7291924A1}"/>
                        <w:text/>
                      </w:sdtPr>
                      <w:sdtEndPr/>
                      <w:sdtContent>
                        <w:p w:rsidR="001E5294" w:rsidRPr="003E45AB" w:rsidRDefault="00E76BD8" w:rsidP="003E45AB">
                          <w:pPr>
                            <w:pStyle w:val="En-tte"/>
                            <w:jc w:val="center"/>
                            <w:rPr>
                              <w:color w:val="000000" w:themeColor="text1"/>
                              <w:sz w:val="28"/>
                              <w:szCs w:val="28"/>
                            </w:rPr>
                          </w:pPr>
                          <w:r>
                            <w:rPr>
                              <w:color w:val="000000" w:themeColor="text1"/>
                              <w:sz w:val="28"/>
                              <w:szCs w:val="28"/>
                            </w:rPr>
                            <w:t>Note de lecture API-ERS                       N° 3</w:t>
                          </w:r>
                        </w:p>
                      </w:sdtContent>
                    </w:sdt>
                  </w:txbxContent>
                </v:textbox>
              </v:rect>
              <v:rect id="Rectangle 198" o:spid="_x0000_s1028" style="position:absolute;left:9176;top:360;width:2391;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HAeMUA&#10;AADcAAAADwAAAGRycy9kb3ducmV2LnhtbESPzW7CMBCE75V4B2uRuFTgNIcWBQyCSkEtF34fYBUv&#10;SUS8DrYh6dvjSpV6HM3MN5r5sjeNeJDztWUFb5MEBHFhdc2lgvMpH09B+ICssbFMCn7Iw3IxeJlj&#10;pm3HB3ocQykihH2GCqoQ2kxKX1Rk0E9sSxy9i3UGQ5SulNphF+GmkWmSvEuDNceFClv6rKi4Hu9G&#10;wSnv8vDtdsXmdXVrd+v9bWPTrVKjYb+agQjUh//wX/tLK0jTD/g9E4+AXD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McB4xQAAANwAAAAPAAAAAAAAAAAAAAAAAJgCAABkcnMv&#10;ZG93bnJldi54bWxQSwUGAAAAAAQABAD1AAAAigMAAAAA&#10;" fillcolor="#fde9d9 [665]" stroked="f" strokecolor="white" strokeweight="2pt">
                <v:textbox>
                  <w:txbxContent>
                    <w:p w:rsidR="001E5294" w:rsidRPr="003E45AB" w:rsidRDefault="00786AC0" w:rsidP="003E45AB">
                      <w:pPr>
                        <w:pStyle w:val="En-tte"/>
                        <w:jc w:val="center"/>
                        <w:rPr>
                          <w:color w:val="000000" w:themeColor="text1"/>
                          <w:sz w:val="28"/>
                          <w:szCs w:val="36"/>
                        </w:rPr>
                      </w:pPr>
                      <w:r>
                        <w:rPr>
                          <w:color w:val="000000" w:themeColor="text1"/>
                          <w:sz w:val="28"/>
                          <w:szCs w:val="36"/>
                        </w:rPr>
                        <w:t xml:space="preserve">Octobre </w:t>
                      </w:r>
                      <w:sdt>
                        <w:sdtPr>
                          <w:rPr>
                            <w:color w:val="000000" w:themeColor="text1"/>
                            <w:sz w:val="28"/>
                            <w:szCs w:val="36"/>
                          </w:rPr>
                          <w:alias w:val="Année"/>
                          <w:id w:val="1316526329"/>
                          <w:dataBinding w:prefixMappings="xmlns:ns0='http://schemas.microsoft.com/office/2006/coverPageProps'" w:xpath="/ns0:CoverPageProperties[1]/ns0:PublishDate[1]" w:storeItemID="{55AF091B-3C7A-41E3-B477-F2FDAA23CFDA}"/>
                          <w:date w:fullDate="2014-10-01T00:00:00Z">
                            <w:dateFormat w:val="yyyy"/>
                            <w:lid w:val="fr-FR"/>
                            <w:storeMappedDataAs w:val="dateTime"/>
                            <w:calendar w:val="gregorian"/>
                          </w:date>
                        </w:sdtPr>
                        <w:sdtEndPr/>
                        <w:sdtContent>
                          <w:r>
                            <w:rPr>
                              <w:color w:val="000000" w:themeColor="text1"/>
                              <w:sz w:val="28"/>
                              <w:szCs w:val="36"/>
                            </w:rPr>
                            <w:t>2014</w:t>
                          </w:r>
                        </w:sdtContent>
                      </w:sdt>
                    </w:p>
                  </w:txbxContent>
                </v:textbox>
              </v:rect>
              <v:rect id="Rectangle 199" o:spid="_x0000_s1029"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VCecEA&#10;AADcAAAADwAAAGRycy9kb3ducmV2LnhtbERPTYvCMBC9L/gfwgheFk2tu6LVKCII4mFhVcTj0Ixt&#10;sZmUJGr99+YgeHy87/myNbW4k/OVZQXDQQKCOLe64kLB8bDpT0D4gKyxtkwKnuRhueh8zTHT9sH/&#10;dN+HQsQQ9hkqKENoMil9XpJBP7ANceQu1hkMEbpCaoePGG5qmSbJWBqsODaU2NC6pPy6vxkFu5/f&#10;5BxOQ3uYXEfTP1d/n8a7m1K9bruagQjUho/47d5qBWka18Yz8Qj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lQnnBAAAA3AAAAA8AAAAAAAAAAAAAAAAAmAIAAGRycy9kb3du&#10;cmV2LnhtbFBLBQYAAAAABAAEAPUAAACGAwAAAAA=&#10;" filled="f" strokeweight="1pt"/>
              <w10:wrap anchorx="page" anchory="margin"/>
            </v:group>
          </w:pict>
        </mc:Fallback>
      </mc:AlternateContent>
    </w:r>
    <w:r>
      <w:t>SPC</w:t>
    </w:r>
  </w:p>
  <w:p w:rsidR="001E5294" w:rsidRDefault="001E529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nsid w:val="00000003"/>
    <w:multiLevelType w:val="multilevel"/>
    <w:tmpl w:val="00000003"/>
    <w:lvl w:ilvl="0">
      <w:start w:val="1"/>
      <w:numFmt w:val="bullet"/>
      <w:lvlText w:val=""/>
      <w:lvlJc w:val="left"/>
      <w:pPr>
        <w:tabs>
          <w:tab w:val="num" w:pos="720"/>
        </w:tabs>
        <w:ind w:left="720" w:hanging="72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29D87821"/>
    <w:multiLevelType w:val="hybridMultilevel"/>
    <w:tmpl w:val="BB7E75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B8377B1"/>
    <w:multiLevelType w:val="hybridMultilevel"/>
    <w:tmpl w:val="20FA91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0F449AE"/>
    <w:multiLevelType w:val="hybridMultilevel"/>
    <w:tmpl w:val="98F8FE9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746D48AC"/>
    <w:multiLevelType w:val="hybridMultilevel"/>
    <w:tmpl w:val="61EAD3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EC942B1"/>
    <w:multiLevelType w:val="hybridMultilevel"/>
    <w:tmpl w:val="82FA2D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5"/>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B79"/>
    <w:rsid w:val="0004140D"/>
    <w:rsid w:val="00042C85"/>
    <w:rsid w:val="00043F8B"/>
    <w:rsid w:val="000464D8"/>
    <w:rsid w:val="000A7352"/>
    <w:rsid w:val="000B0CAC"/>
    <w:rsid w:val="000D1F5F"/>
    <w:rsid w:val="000E4BF3"/>
    <w:rsid w:val="001036F6"/>
    <w:rsid w:val="00106708"/>
    <w:rsid w:val="001170FE"/>
    <w:rsid w:val="00152F49"/>
    <w:rsid w:val="00164246"/>
    <w:rsid w:val="001A36F3"/>
    <w:rsid w:val="001B41CF"/>
    <w:rsid w:val="001E5294"/>
    <w:rsid w:val="00231E6C"/>
    <w:rsid w:val="002A6CFB"/>
    <w:rsid w:val="002D66A8"/>
    <w:rsid w:val="00301B69"/>
    <w:rsid w:val="003E45AB"/>
    <w:rsid w:val="00403BA1"/>
    <w:rsid w:val="004129B9"/>
    <w:rsid w:val="004226C5"/>
    <w:rsid w:val="00461ECF"/>
    <w:rsid w:val="004E17FE"/>
    <w:rsid w:val="00523E46"/>
    <w:rsid w:val="00536E3E"/>
    <w:rsid w:val="00587F03"/>
    <w:rsid w:val="005F2722"/>
    <w:rsid w:val="00717D3A"/>
    <w:rsid w:val="00737682"/>
    <w:rsid w:val="007603A8"/>
    <w:rsid w:val="00766BC7"/>
    <w:rsid w:val="007728C1"/>
    <w:rsid w:val="00786AC0"/>
    <w:rsid w:val="00825801"/>
    <w:rsid w:val="00833784"/>
    <w:rsid w:val="008436E6"/>
    <w:rsid w:val="008840E5"/>
    <w:rsid w:val="00895597"/>
    <w:rsid w:val="008A117F"/>
    <w:rsid w:val="008A1254"/>
    <w:rsid w:val="008B0517"/>
    <w:rsid w:val="008C718C"/>
    <w:rsid w:val="008E36A8"/>
    <w:rsid w:val="00912B26"/>
    <w:rsid w:val="00920B72"/>
    <w:rsid w:val="00962414"/>
    <w:rsid w:val="00981421"/>
    <w:rsid w:val="009945FB"/>
    <w:rsid w:val="009976DF"/>
    <w:rsid w:val="009C77B2"/>
    <w:rsid w:val="009D515C"/>
    <w:rsid w:val="009F7A0C"/>
    <w:rsid w:val="00A42625"/>
    <w:rsid w:val="00A636E4"/>
    <w:rsid w:val="00A76728"/>
    <w:rsid w:val="00A81205"/>
    <w:rsid w:val="00AD210C"/>
    <w:rsid w:val="00AF4CFB"/>
    <w:rsid w:val="00B32C6D"/>
    <w:rsid w:val="00B46E88"/>
    <w:rsid w:val="00B82FDB"/>
    <w:rsid w:val="00B903E7"/>
    <w:rsid w:val="00C040FF"/>
    <w:rsid w:val="00C26A35"/>
    <w:rsid w:val="00C32B1E"/>
    <w:rsid w:val="00C436DB"/>
    <w:rsid w:val="00C52B23"/>
    <w:rsid w:val="00C73B20"/>
    <w:rsid w:val="00C861CF"/>
    <w:rsid w:val="00CB6464"/>
    <w:rsid w:val="00CD7790"/>
    <w:rsid w:val="00D00D4E"/>
    <w:rsid w:val="00D02B79"/>
    <w:rsid w:val="00D040F0"/>
    <w:rsid w:val="00D053D4"/>
    <w:rsid w:val="00D12164"/>
    <w:rsid w:val="00D168DF"/>
    <w:rsid w:val="00D91661"/>
    <w:rsid w:val="00DA2679"/>
    <w:rsid w:val="00DD1218"/>
    <w:rsid w:val="00E02804"/>
    <w:rsid w:val="00E76BD8"/>
    <w:rsid w:val="00E84A6D"/>
    <w:rsid w:val="00EC0259"/>
    <w:rsid w:val="00EC6CFA"/>
    <w:rsid w:val="00EE0D81"/>
    <w:rsid w:val="00F00E62"/>
    <w:rsid w:val="00F40CAC"/>
    <w:rsid w:val="00F60127"/>
    <w:rsid w:val="00FF54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02B7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02B79"/>
    <w:rPr>
      <w:rFonts w:ascii="Tahoma" w:hAnsi="Tahoma" w:cs="Tahoma"/>
      <w:sz w:val="16"/>
      <w:szCs w:val="16"/>
    </w:rPr>
  </w:style>
  <w:style w:type="paragraph" w:styleId="En-tte">
    <w:name w:val="header"/>
    <w:basedOn w:val="Normal"/>
    <w:link w:val="En-tteCar"/>
    <w:uiPriority w:val="99"/>
    <w:unhideWhenUsed/>
    <w:rsid w:val="00AF4CFB"/>
    <w:pPr>
      <w:tabs>
        <w:tab w:val="center" w:pos="4536"/>
        <w:tab w:val="right" w:pos="9072"/>
      </w:tabs>
      <w:spacing w:after="0" w:line="240" w:lineRule="auto"/>
    </w:pPr>
  </w:style>
  <w:style w:type="character" w:customStyle="1" w:styleId="En-tteCar">
    <w:name w:val="En-tête Car"/>
    <w:basedOn w:val="Policepardfaut"/>
    <w:link w:val="En-tte"/>
    <w:uiPriority w:val="99"/>
    <w:rsid w:val="00AF4CFB"/>
  </w:style>
  <w:style w:type="paragraph" w:styleId="Pieddepage">
    <w:name w:val="footer"/>
    <w:basedOn w:val="Normal"/>
    <w:link w:val="PieddepageCar"/>
    <w:uiPriority w:val="99"/>
    <w:unhideWhenUsed/>
    <w:rsid w:val="00AF4CF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F4CFB"/>
  </w:style>
  <w:style w:type="paragraph" w:styleId="Paragraphedeliste">
    <w:name w:val="List Paragraph"/>
    <w:basedOn w:val="Normal"/>
    <w:uiPriority w:val="34"/>
    <w:qFormat/>
    <w:rsid w:val="00962414"/>
    <w:pPr>
      <w:ind w:left="720"/>
      <w:contextualSpacing/>
    </w:pPr>
  </w:style>
  <w:style w:type="paragraph" w:customStyle="1" w:styleId="3CBD5A742C28424DA5172AD252E32316">
    <w:name w:val="3CBD5A742C28424DA5172AD252E32316"/>
    <w:rsid w:val="00786AC0"/>
    <w:rPr>
      <w:rFonts w:eastAsiaTheme="minorEastAsia"/>
      <w:lang w:eastAsia="fr-FR"/>
    </w:rPr>
  </w:style>
  <w:style w:type="character" w:customStyle="1" w:styleId="Caractresdenotedebasdepage">
    <w:name w:val="Caractères de note de bas de page"/>
    <w:rsid w:val="00CD7790"/>
    <w:rPr>
      <w:vertAlign w:val="superscript"/>
    </w:rPr>
  </w:style>
  <w:style w:type="character" w:styleId="Lienhypertexte">
    <w:name w:val="Hyperlink"/>
    <w:basedOn w:val="Policepardfaut"/>
    <w:uiPriority w:val="99"/>
    <w:unhideWhenUsed/>
    <w:rsid w:val="00C26A35"/>
    <w:rPr>
      <w:color w:val="0000FF" w:themeColor="hyperlink"/>
      <w:u w:val="single"/>
    </w:rPr>
  </w:style>
  <w:style w:type="character" w:styleId="Lienhypertextesuivivisit">
    <w:name w:val="FollowedHyperlink"/>
    <w:basedOn w:val="Policepardfaut"/>
    <w:uiPriority w:val="99"/>
    <w:semiHidden/>
    <w:unhideWhenUsed/>
    <w:rsid w:val="00C26A35"/>
    <w:rPr>
      <w:color w:val="800080" w:themeColor="followedHyperlink"/>
      <w:u w:val="single"/>
    </w:rPr>
  </w:style>
  <w:style w:type="paragraph" w:styleId="Notedebasdepage">
    <w:name w:val="footnote text"/>
    <w:basedOn w:val="Normal"/>
    <w:link w:val="NotedebasdepageCar"/>
    <w:uiPriority w:val="99"/>
    <w:semiHidden/>
    <w:unhideWhenUsed/>
    <w:rsid w:val="00766BC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66BC7"/>
    <w:rPr>
      <w:sz w:val="20"/>
      <w:szCs w:val="20"/>
    </w:rPr>
  </w:style>
  <w:style w:type="character" w:styleId="Appelnotedebasdep">
    <w:name w:val="footnote reference"/>
    <w:rsid w:val="00766BC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02B7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02B79"/>
    <w:rPr>
      <w:rFonts w:ascii="Tahoma" w:hAnsi="Tahoma" w:cs="Tahoma"/>
      <w:sz w:val="16"/>
      <w:szCs w:val="16"/>
    </w:rPr>
  </w:style>
  <w:style w:type="paragraph" w:styleId="En-tte">
    <w:name w:val="header"/>
    <w:basedOn w:val="Normal"/>
    <w:link w:val="En-tteCar"/>
    <w:uiPriority w:val="99"/>
    <w:unhideWhenUsed/>
    <w:rsid w:val="00AF4CFB"/>
    <w:pPr>
      <w:tabs>
        <w:tab w:val="center" w:pos="4536"/>
        <w:tab w:val="right" w:pos="9072"/>
      </w:tabs>
      <w:spacing w:after="0" w:line="240" w:lineRule="auto"/>
    </w:pPr>
  </w:style>
  <w:style w:type="character" w:customStyle="1" w:styleId="En-tteCar">
    <w:name w:val="En-tête Car"/>
    <w:basedOn w:val="Policepardfaut"/>
    <w:link w:val="En-tte"/>
    <w:uiPriority w:val="99"/>
    <w:rsid w:val="00AF4CFB"/>
  </w:style>
  <w:style w:type="paragraph" w:styleId="Pieddepage">
    <w:name w:val="footer"/>
    <w:basedOn w:val="Normal"/>
    <w:link w:val="PieddepageCar"/>
    <w:uiPriority w:val="99"/>
    <w:unhideWhenUsed/>
    <w:rsid w:val="00AF4CF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F4CFB"/>
  </w:style>
  <w:style w:type="paragraph" w:styleId="Paragraphedeliste">
    <w:name w:val="List Paragraph"/>
    <w:basedOn w:val="Normal"/>
    <w:uiPriority w:val="34"/>
    <w:qFormat/>
    <w:rsid w:val="00962414"/>
    <w:pPr>
      <w:ind w:left="720"/>
      <w:contextualSpacing/>
    </w:pPr>
  </w:style>
  <w:style w:type="paragraph" w:customStyle="1" w:styleId="3CBD5A742C28424DA5172AD252E32316">
    <w:name w:val="3CBD5A742C28424DA5172AD252E32316"/>
    <w:rsid w:val="00786AC0"/>
    <w:rPr>
      <w:rFonts w:eastAsiaTheme="minorEastAsia"/>
      <w:lang w:eastAsia="fr-FR"/>
    </w:rPr>
  </w:style>
  <w:style w:type="character" w:customStyle="1" w:styleId="Caractresdenotedebasdepage">
    <w:name w:val="Caractères de note de bas de page"/>
    <w:rsid w:val="00CD7790"/>
    <w:rPr>
      <w:vertAlign w:val="superscript"/>
    </w:rPr>
  </w:style>
  <w:style w:type="character" w:styleId="Lienhypertexte">
    <w:name w:val="Hyperlink"/>
    <w:basedOn w:val="Policepardfaut"/>
    <w:uiPriority w:val="99"/>
    <w:unhideWhenUsed/>
    <w:rsid w:val="00C26A35"/>
    <w:rPr>
      <w:color w:val="0000FF" w:themeColor="hyperlink"/>
      <w:u w:val="single"/>
    </w:rPr>
  </w:style>
  <w:style w:type="character" w:styleId="Lienhypertextesuivivisit">
    <w:name w:val="FollowedHyperlink"/>
    <w:basedOn w:val="Policepardfaut"/>
    <w:uiPriority w:val="99"/>
    <w:semiHidden/>
    <w:unhideWhenUsed/>
    <w:rsid w:val="00C26A35"/>
    <w:rPr>
      <w:color w:val="800080" w:themeColor="followedHyperlink"/>
      <w:u w:val="single"/>
    </w:rPr>
  </w:style>
  <w:style w:type="paragraph" w:styleId="Notedebasdepage">
    <w:name w:val="footnote text"/>
    <w:basedOn w:val="Normal"/>
    <w:link w:val="NotedebasdepageCar"/>
    <w:uiPriority w:val="99"/>
    <w:semiHidden/>
    <w:unhideWhenUsed/>
    <w:rsid w:val="00766BC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66BC7"/>
    <w:rPr>
      <w:sz w:val="20"/>
      <w:szCs w:val="20"/>
    </w:rPr>
  </w:style>
  <w:style w:type="character" w:styleId="Appelnotedebasdep">
    <w:name w:val="footnote reference"/>
    <w:rsid w:val="00766B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efeb.org/webdav/site/afd/shared/PORTAILS/PUBLICATIONS/EUDN/EUDN2007/d'Iribarne.pdf"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www.worldbank.org/content/dam/Worldbank/Publications/WDR/WDR%202015/Overview-French.pdf"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2014-10-01T00:00:00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E7CFCBC-9C37-4C70-949F-037D62629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2118</Words>
  <Characters>11653</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Note de lecture API-ERS                       N° 3</vt:lpstr>
    </vt:vector>
  </TitlesOfParts>
  <Company>AFD</Company>
  <LinksUpToDate>false</LinksUpToDate>
  <CharactersWithSpaces>13744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de lecture API-ERS                       N° 3</dc:title>
  <dc:creator>RIOUST DE LARGENTAYE Armand</dc:creator>
  <cp:lastModifiedBy>Daniel</cp:lastModifiedBy>
  <cp:revision>2</cp:revision>
  <cp:lastPrinted>2014-10-01T15:40:00Z</cp:lastPrinted>
  <dcterms:created xsi:type="dcterms:W3CDTF">2015-04-14T17:01:00Z</dcterms:created>
  <dcterms:modified xsi:type="dcterms:W3CDTF">2015-04-14T17:01:00Z</dcterms:modified>
</cp:coreProperties>
</file>